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F0F6" w14:textId="3CAF522B" w:rsidR="001802C8" w:rsidRDefault="008C2812">
      <w:pPr>
        <w:spacing w:before="10" w:after="0" w:line="160" w:lineRule="auto"/>
        <w:jc w:val="both"/>
      </w:pPr>
      <w:r>
        <w:rPr>
          <w:noProof/>
          <w:lang w:eastAsia="en-US"/>
        </w:rPr>
        <w:drawing>
          <wp:anchor distT="0" distB="0" distL="114300" distR="114300" simplePos="0" relativeHeight="251661312" behindDoc="0" locked="0" layoutInCell="1" hidden="0" allowOverlap="1" wp14:anchorId="565022F3" wp14:editId="5BA8BD04">
            <wp:simplePos x="0" y="0"/>
            <wp:positionH relativeFrom="margin">
              <wp:align>left</wp:align>
            </wp:positionH>
            <wp:positionV relativeFrom="paragraph">
              <wp:posOffset>13759</wp:posOffset>
            </wp:positionV>
            <wp:extent cx="1805305" cy="571500"/>
            <wp:effectExtent l="0" t="0" r="4445"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805305" cy="571500"/>
                    </a:xfrm>
                    <a:prstGeom prst="rect">
                      <a:avLst/>
                    </a:prstGeom>
                    <a:ln/>
                  </pic:spPr>
                </pic:pic>
              </a:graphicData>
            </a:graphic>
          </wp:anchor>
        </w:drawing>
      </w:r>
      <w:r w:rsidR="0071541E">
        <w:rPr>
          <w:noProof/>
          <w:lang w:eastAsia="en-US"/>
        </w:rPr>
        <w:drawing>
          <wp:anchor distT="0" distB="0" distL="114300" distR="114300" simplePos="0" relativeHeight="251660288" behindDoc="0" locked="0" layoutInCell="1" hidden="0" allowOverlap="1" wp14:anchorId="70F8FA14" wp14:editId="4E2DBEF5">
            <wp:simplePos x="0" y="0"/>
            <wp:positionH relativeFrom="column">
              <wp:posOffset>4687570</wp:posOffset>
            </wp:positionH>
            <wp:positionV relativeFrom="paragraph">
              <wp:posOffset>-143722</wp:posOffset>
            </wp:positionV>
            <wp:extent cx="2311496" cy="971550"/>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311496" cy="971550"/>
                    </a:xfrm>
                    <a:prstGeom prst="rect">
                      <a:avLst/>
                    </a:prstGeom>
                    <a:ln/>
                  </pic:spPr>
                </pic:pic>
              </a:graphicData>
            </a:graphic>
          </wp:anchor>
        </w:drawing>
      </w:r>
    </w:p>
    <w:p w14:paraId="100A4B9A" w14:textId="703D9DB2" w:rsidR="001802C8" w:rsidRPr="008C2812" w:rsidRDefault="008C2812" w:rsidP="008C2812">
      <w:pPr>
        <w:spacing w:after="0" w:line="240" w:lineRule="auto"/>
        <w:ind w:left="147"/>
        <w:jc w:val="center"/>
      </w:pPr>
      <w:r>
        <w:rPr>
          <w:noProof/>
          <w:color w:val="000000"/>
          <w:lang w:eastAsia="en-US"/>
        </w:rPr>
        <w:drawing>
          <wp:inline distT="0" distB="0" distL="0" distR="0" wp14:anchorId="19076380" wp14:editId="4018492E">
            <wp:extent cx="888365" cy="908698"/>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80" cy="923034"/>
                    </a:xfrm>
                    <a:prstGeom prst="rect">
                      <a:avLst/>
                    </a:prstGeom>
                    <a:noFill/>
                  </pic:spPr>
                </pic:pic>
              </a:graphicData>
            </a:graphic>
          </wp:inline>
        </w:drawing>
      </w:r>
    </w:p>
    <w:p w14:paraId="76031D46" w14:textId="77777777" w:rsidR="001802C8" w:rsidRDefault="0071541E">
      <w:pPr>
        <w:pStyle w:val="Heading1"/>
        <w:widowControl/>
        <w:jc w:val="center"/>
        <w:rPr>
          <w:rFonts w:ascii="Calibri" w:eastAsia="Calibri" w:hAnsi="Calibri" w:cs="Calibri"/>
          <w:color w:val="000000"/>
          <w:sz w:val="22"/>
          <w:szCs w:val="22"/>
        </w:rPr>
      </w:pPr>
      <w:r>
        <w:rPr>
          <w:rFonts w:ascii="Calibri" w:eastAsia="Calibri" w:hAnsi="Calibri" w:cs="Calibri"/>
          <w:color w:val="000000"/>
          <w:sz w:val="22"/>
          <w:szCs w:val="22"/>
        </w:rPr>
        <w:t xml:space="preserve">THE FIRST CALL FOR ERASMUS+ INTERNATIONAL CREDIT MOBILITY (ICM) / OUTGOING STUDENT TRAINEESHIP MOBILITY </w:t>
      </w:r>
    </w:p>
    <w:p w14:paraId="7086F2F6" w14:textId="77777777" w:rsidR="001802C8" w:rsidRPr="000771D1" w:rsidRDefault="0071541E">
      <w:pPr>
        <w:pStyle w:val="Heading1"/>
        <w:widowControl/>
        <w:spacing w:before="0"/>
        <w:jc w:val="center"/>
        <w:rPr>
          <w:rFonts w:ascii="Calibri" w:eastAsia="Calibri" w:hAnsi="Calibri" w:cs="Calibri"/>
          <w:color w:val="000000" w:themeColor="text1"/>
          <w:sz w:val="22"/>
          <w:szCs w:val="22"/>
        </w:rPr>
      </w:pPr>
      <w:r w:rsidRPr="000771D1">
        <w:rPr>
          <w:rFonts w:ascii="Calibri" w:eastAsia="Calibri" w:hAnsi="Calibri" w:cs="Calibri"/>
          <w:color w:val="000000" w:themeColor="text1"/>
          <w:sz w:val="22"/>
          <w:szCs w:val="22"/>
        </w:rPr>
        <w:t>2020/2023 PROJECT TERM</w:t>
      </w:r>
    </w:p>
    <w:p w14:paraId="0423B896" w14:textId="77777777" w:rsidR="001802C8" w:rsidRPr="000771D1" w:rsidRDefault="001802C8">
      <w:pPr>
        <w:rPr>
          <w:color w:val="000000" w:themeColor="text1"/>
        </w:rPr>
      </w:pPr>
    </w:p>
    <w:p w14:paraId="696D17A6" w14:textId="7B60B314" w:rsidR="001802C8" w:rsidRPr="000771D1" w:rsidRDefault="0071541E">
      <w:pPr>
        <w:pStyle w:val="Heading2"/>
        <w:widowControl/>
        <w:spacing w:before="0"/>
        <w:rPr>
          <w:rFonts w:ascii="Calibri" w:eastAsia="Calibri" w:hAnsi="Calibri" w:cs="Calibri"/>
          <w:color w:val="000000" w:themeColor="text1"/>
          <w:sz w:val="22"/>
          <w:szCs w:val="22"/>
        </w:rPr>
      </w:pPr>
      <w:r w:rsidRPr="000771D1">
        <w:rPr>
          <w:rFonts w:ascii="Calibri" w:eastAsia="Calibri" w:hAnsi="Calibri" w:cs="Calibri"/>
          <w:color w:val="000000" w:themeColor="text1"/>
          <w:sz w:val="22"/>
          <w:szCs w:val="22"/>
        </w:rPr>
        <w:t xml:space="preserve">Application Period:  </w:t>
      </w:r>
      <w:r w:rsidR="00361241">
        <w:rPr>
          <w:rFonts w:ascii="Calibri" w:eastAsia="Calibri" w:hAnsi="Calibri" w:cs="Calibri"/>
          <w:color w:val="000000" w:themeColor="text1"/>
          <w:sz w:val="22"/>
          <w:szCs w:val="22"/>
        </w:rPr>
        <w:t>15-12</w:t>
      </w:r>
      <w:bookmarkStart w:id="0" w:name="_GoBack"/>
      <w:bookmarkEnd w:id="0"/>
      <w:r w:rsidR="000771D1" w:rsidRPr="000771D1">
        <w:rPr>
          <w:rFonts w:ascii="Calibri" w:eastAsia="Calibri" w:hAnsi="Calibri" w:cs="Calibri"/>
          <w:color w:val="000000" w:themeColor="text1"/>
          <w:sz w:val="22"/>
          <w:szCs w:val="22"/>
        </w:rPr>
        <w:t>-2022</w:t>
      </w:r>
    </w:p>
    <w:p w14:paraId="19312E3F" w14:textId="77777777" w:rsidR="001802C8" w:rsidRDefault="001802C8"/>
    <w:p w14:paraId="0EC7F2CB" w14:textId="77777777" w:rsidR="001802C8" w:rsidRDefault="0071541E">
      <w:r>
        <w:t xml:space="preserve">Erasmus+ International Credit Mobility </w:t>
      </w:r>
      <w:proofErr w:type="spellStart"/>
      <w:r>
        <w:t>programme</w:t>
      </w:r>
      <w:proofErr w:type="spellEnd"/>
      <w:r>
        <w:t xml:space="preserve"> enables to students between Marmara University and its </w:t>
      </w:r>
      <w:r w:rsidR="003A5A52">
        <w:t>COMSATS University Islamabad, Lahore campus</w:t>
      </w:r>
      <w:r>
        <w:t xml:space="preserve"> for study/traineeship mobility activities. This call includes Erasmus+ International Credit Mobility Project, contract no: 2020-1-TR01-KA107-087815, for the years 2020 – 2023. This call opens for the applications to the following ERASMUS+ ICM partners:</w:t>
      </w:r>
    </w:p>
    <w:p w14:paraId="27BA094C" w14:textId="77777777" w:rsidR="001802C8" w:rsidRDefault="003A5A52">
      <w:pPr>
        <w:numPr>
          <w:ilvl w:val="0"/>
          <w:numId w:val="4"/>
        </w:numPr>
        <w:pBdr>
          <w:top w:val="nil"/>
          <w:left w:val="nil"/>
          <w:bottom w:val="nil"/>
          <w:right w:val="nil"/>
          <w:between w:val="nil"/>
        </w:pBdr>
        <w:spacing w:before="49" w:after="0" w:line="240" w:lineRule="auto"/>
        <w:rPr>
          <w:color w:val="000000"/>
        </w:rPr>
      </w:pPr>
      <w:r>
        <w:rPr>
          <w:color w:val="000000"/>
        </w:rPr>
        <w:t>Marmara University</w:t>
      </w:r>
    </w:p>
    <w:p w14:paraId="27038140" w14:textId="77777777" w:rsidR="004E01C5" w:rsidRDefault="004E01C5" w:rsidP="004E01C5">
      <w:pPr>
        <w:pBdr>
          <w:top w:val="nil"/>
          <w:left w:val="nil"/>
          <w:bottom w:val="nil"/>
          <w:right w:val="nil"/>
          <w:between w:val="nil"/>
        </w:pBdr>
        <w:spacing w:before="49" w:after="0" w:line="240" w:lineRule="auto"/>
        <w:ind w:left="720"/>
        <w:rPr>
          <w:color w:val="000000"/>
        </w:rPr>
      </w:pPr>
    </w:p>
    <w:p w14:paraId="4C824985" w14:textId="77777777" w:rsidR="001802C8" w:rsidRDefault="0071541E">
      <w:pPr>
        <w:pStyle w:val="Heading3"/>
        <w:rPr>
          <w:rFonts w:ascii="Calibri" w:eastAsia="Calibri" w:hAnsi="Calibri" w:cs="Calibri"/>
          <w:color w:val="000000"/>
        </w:rPr>
      </w:pPr>
      <w:r>
        <w:rPr>
          <w:rFonts w:ascii="Calibri" w:eastAsia="Calibri" w:hAnsi="Calibri" w:cs="Calibri"/>
          <w:color w:val="000000"/>
        </w:rPr>
        <w:t>WHO CAN APPLY?</w:t>
      </w:r>
    </w:p>
    <w:p w14:paraId="3D4B41EB" w14:textId="77777777" w:rsidR="001802C8" w:rsidRDefault="003A5A52">
      <w:pPr>
        <w:spacing w:after="0" w:line="239" w:lineRule="auto"/>
        <w:ind w:firstLine="360"/>
        <w:jc w:val="both"/>
      </w:pPr>
      <w:r>
        <w:rPr>
          <w:b/>
        </w:rPr>
        <w:t>Full-time students of COMSATS</w:t>
      </w:r>
      <w:r w:rsidR="0071541E">
        <w:rPr>
          <w:b/>
        </w:rPr>
        <w:t xml:space="preserve"> University</w:t>
      </w:r>
      <w:r w:rsidR="0071541E">
        <w:t xml:space="preserve"> </w:t>
      </w:r>
      <w:r>
        <w:t>Islamabad, Lahore campus can</w:t>
      </w:r>
      <w:r w:rsidR="0071541E">
        <w:t xml:space="preserve"> benefit from outgoing student traineeship mobility as long as they meet the below conditions and submit their applications by the deadline stated on this call:</w:t>
      </w:r>
    </w:p>
    <w:p w14:paraId="0B2C9C9B" w14:textId="77777777" w:rsidR="001802C8" w:rsidRDefault="001802C8">
      <w:pPr>
        <w:spacing w:after="0" w:line="239" w:lineRule="auto"/>
        <w:jc w:val="both"/>
      </w:pPr>
    </w:p>
    <w:p w14:paraId="49809DAE" w14:textId="77777777" w:rsidR="001802C8" w:rsidRDefault="003A5A52">
      <w:pPr>
        <w:numPr>
          <w:ilvl w:val="0"/>
          <w:numId w:val="3"/>
        </w:numPr>
        <w:pBdr>
          <w:top w:val="nil"/>
          <w:left w:val="nil"/>
          <w:bottom w:val="nil"/>
          <w:right w:val="nil"/>
          <w:between w:val="nil"/>
        </w:pBdr>
        <w:spacing w:after="0" w:line="239" w:lineRule="auto"/>
        <w:jc w:val="both"/>
        <w:rPr>
          <w:color w:val="000000"/>
        </w:rPr>
      </w:pPr>
      <w:r>
        <w:rPr>
          <w:color w:val="000000"/>
        </w:rPr>
        <w:t>Postgraduate students must have at least 3.25</w:t>
      </w:r>
      <w:r w:rsidR="0071541E">
        <w:rPr>
          <w:color w:val="000000"/>
        </w:rPr>
        <w:t xml:space="preserve"> / 4.00 cumulative GPA </w:t>
      </w:r>
    </w:p>
    <w:p w14:paraId="662DFEF7" w14:textId="77777777" w:rsidR="001802C8" w:rsidRDefault="0071541E">
      <w:pPr>
        <w:numPr>
          <w:ilvl w:val="0"/>
          <w:numId w:val="3"/>
        </w:numPr>
        <w:pBdr>
          <w:top w:val="nil"/>
          <w:left w:val="nil"/>
          <w:bottom w:val="nil"/>
          <w:right w:val="nil"/>
          <w:between w:val="nil"/>
        </w:pBdr>
        <w:tabs>
          <w:tab w:val="left" w:pos="820"/>
        </w:tabs>
        <w:spacing w:after="0" w:line="240" w:lineRule="auto"/>
        <w:jc w:val="both"/>
        <w:rPr>
          <w:color w:val="000000"/>
        </w:rPr>
      </w:pPr>
      <w:r>
        <w:rPr>
          <w:color w:val="000000"/>
        </w:rPr>
        <w:t>Students must have at least finished one academic year prior to the start of the exchange period. Students at their preparatory year are not eligible to apply for this call.</w:t>
      </w:r>
    </w:p>
    <w:p w14:paraId="0D9B3302" w14:textId="77777777" w:rsidR="001802C8" w:rsidRPr="007D66A4" w:rsidRDefault="0071541E" w:rsidP="007D66A4">
      <w:pPr>
        <w:numPr>
          <w:ilvl w:val="0"/>
          <w:numId w:val="3"/>
        </w:numPr>
        <w:pBdr>
          <w:top w:val="nil"/>
          <w:left w:val="nil"/>
          <w:bottom w:val="nil"/>
          <w:right w:val="nil"/>
          <w:between w:val="nil"/>
        </w:pBdr>
        <w:tabs>
          <w:tab w:val="left" w:pos="820"/>
        </w:tabs>
        <w:spacing w:after="0" w:line="240" w:lineRule="auto"/>
        <w:jc w:val="both"/>
        <w:rPr>
          <w:color w:val="000000"/>
        </w:rPr>
      </w:pPr>
      <w:r>
        <w:rPr>
          <w:color w:val="000000"/>
        </w:rPr>
        <w:t>Applicants must show proof of English</w:t>
      </w:r>
      <w:r w:rsidR="003A5A52">
        <w:rPr>
          <w:color w:val="000000"/>
        </w:rPr>
        <w:t xml:space="preserve"> proficiency in the application process</w:t>
      </w:r>
    </w:p>
    <w:p w14:paraId="16008F13" w14:textId="77777777" w:rsidR="001802C8" w:rsidRPr="007D66A4" w:rsidRDefault="0071541E" w:rsidP="007D66A4">
      <w:pPr>
        <w:numPr>
          <w:ilvl w:val="0"/>
          <w:numId w:val="3"/>
        </w:numPr>
        <w:pBdr>
          <w:top w:val="nil"/>
          <w:left w:val="nil"/>
          <w:bottom w:val="nil"/>
          <w:right w:val="nil"/>
          <w:between w:val="nil"/>
        </w:pBdr>
        <w:tabs>
          <w:tab w:val="left" w:pos="820"/>
        </w:tabs>
        <w:spacing w:after="0" w:line="240" w:lineRule="auto"/>
        <w:jc w:val="both"/>
        <w:rPr>
          <w:color w:val="000000"/>
        </w:rPr>
      </w:pPr>
      <w:r>
        <w:rPr>
          <w:color w:val="000000"/>
        </w:rPr>
        <w:t>The students who are at their last semester are advised not to take part in any study abroad program due to possible complications regarding late arrival of transcript and graduation requirements.</w:t>
      </w:r>
    </w:p>
    <w:p w14:paraId="2E7D79FC" w14:textId="77777777" w:rsidR="001802C8" w:rsidRDefault="001802C8">
      <w:pPr>
        <w:spacing w:after="0" w:line="240" w:lineRule="auto"/>
        <w:jc w:val="both"/>
      </w:pPr>
    </w:p>
    <w:p w14:paraId="1EBD8739" w14:textId="77777777" w:rsidR="001802C8" w:rsidRDefault="0071541E">
      <w:pPr>
        <w:pStyle w:val="Heading3"/>
        <w:rPr>
          <w:rFonts w:ascii="Calibri" w:eastAsia="Calibri" w:hAnsi="Calibri" w:cs="Calibri"/>
          <w:color w:val="000000"/>
        </w:rPr>
      </w:pPr>
      <w:r>
        <w:rPr>
          <w:rFonts w:ascii="Calibri" w:eastAsia="Calibri" w:hAnsi="Calibri" w:cs="Calibri"/>
          <w:color w:val="000000"/>
        </w:rPr>
        <w:t>HOW TO APPLY?</w:t>
      </w:r>
    </w:p>
    <w:p w14:paraId="67F964E7" w14:textId="77777777" w:rsidR="001802C8" w:rsidRDefault="0071541E">
      <w:pPr>
        <w:widowControl/>
        <w:numPr>
          <w:ilvl w:val="0"/>
          <w:numId w:val="2"/>
        </w:numPr>
        <w:spacing w:after="42" w:line="250" w:lineRule="auto"/>
        <w:ind w:right="9" w:hanging="360"/>
        <w:jc w:val="both"/>
        <w:rPr>
          <w:color w:val="FF0000"/>
        </w:rPr>
      </w:pPr>
      <w:r>
        <w:t>Interested students should submit their application to by bringing the below-mentioned documents</w:t>
      </w:r>
      <w:r w:rsidR="007D66A4">
        <w:t xml:space="preserve"> to Manager IRCBM</w:t>
      </w:r>
    </w:p>
    <w:p w14:paraId="65A0F1E5" w14:textId="77777777" w:rsidR="007D66A4" w:rsidRPr="007D66A4" w:rsidRDefault="0071541E" w:rsidP="00677005">
      <w:pPr>
        <w:numPr>
          <w:ilvl w:val="0"/>
          <w:numId w:val="6"/>
        </w:numPr>
        <w:spacing w:line="240" w:lineRule="auto"/>
      </w:pPr>
      <w:r>
        <w:t xml:space="preserve">Valid </w:t>
      </w:r>
      <w:r w:rsidR="007D66A4" w:rsidRPr="007D66A4">
        <w:rPr>
          <w:b/>
          <w:color w:val="FF0000"/>
          <w:u w:val="single"/>
        </w:rPr>
        <w:t>COMSATS English Language Certificate</w:t>
      </w:r>
      <w:r w:rsidR="007D66A4">
        <w:rPr>
          <w:b/>
          <w:color w:val="FF0000"/>
          <w:u w:val="single"/>
        </w:rPr>
        <w:t>, indicating that the mode of teaching was English language</w:t>
      </w:r>
    </w:p>
    <w:p w14:paraId="6A6CC152" w14:textId="77777777" w:rsidR="001802C8" w:rsidRDefault="007D66A4" w:rsidP="00677005">
      <w:pPr>
        <w:numPr>
          <w:ilvl w:val="0"/>
          <w:numId w:val="6"/>
        </w:numPr>
        <w:spacing w:line="240" w:lineRule="auto"/>
      </w:pPr>
      <w:r>
        <w:t>Official Transcript</w:t>
      </w:r>
    </w:p>
    <w:p w14:paraId="69414C8A" w14:textId="77777777" w:rsidR="001802C8" w:rsidRDefault="0071541E" w:rsidP="007D66A4">
      <w:pPr>
        <w:numPr>
          <w:ilvl w:val="0"/>
          <w:numId w:val="6"/>
        </w:numPr>
        <w:spacing w:line="240" w:lineRule="auto"/>
      </w:pPr>
      <w:r>
        <w:t xml:space="preserve">Filled application form that can be downloaded </w:t>
      </w:r>
      <w:r>
        <w:rPr>
          <w:u w:val="single"/>
        </w:rPr>
        <w:t>here</w:t>
      </w:r>
    </w:p>
    <w:p w14:paraId="09223D9A" w14:textId="77777777" w:rsidR="007D66A4" w:rsidRDefault="007D66A4" w:rsidP="007D66A4">
      <w:pPr>
        <w:spacing w:line="240" w:lineRule="auto"/>
        <w:ind w:left="1068"/>
      </w:pPr>
    </w:p>
    <w:p w14:paraId="01A1ECE7" w14:textId="77777777" w:rsidR="001802C8" w:rsidRDefault="0071541E">
      <w:pPr>
        <w:keepNext/>
        <w:keepLines/>
        <w:widowControl/>
        <w:spacing w:before="200" w:after="0"/>
        <w:rPr>
          <w:b/>
        </w:rPr>
      </w:pPr>
      <w:r>
        <w:rPr>
          <w:b/>
        </w:rPr>
        <w:t>SELECTION OF MOBILITY CANDIDATES</w:t>
      </w:r>
    </w:p>
    <w:p w14:paraId="3C0A16FC" w14:textId="77777777" w:rsidR="001802C8" w:rsidRDefault="0071541E">
      <w:pPr>
        <w:widowControl/>
        <w:spacing w:after="0"/>
        <w:ind w:firstLine="720"/>
      </w:pPr>
      <w:r>
        <w:t xml:space="preserve">Following the application deadline, Marmara University Erasmus+ Commission will make the </w:t>
      </w:r>
      <w:r>
        <w:rPr>
          <w:b/>
        </w:rPr>
        <w:t>eligibility check</w:t>
      </w:r>
      <w:r>
        <w:t xml:space="preserve"> for all the applications. </w:t>
      </w:r>
    </w:p>
    <w:p w14:paraId="6A209CCF" w14:textId="77777777" w:rsidR="001802C8" w:rsidRDefault="0071541E">
      <w:pPr>
        <w:widowControl/>
        <w:spacing w:after="0"/>
      </w:pPr>
      <w:r>
        <w:t xml:space="preserve"> </w:t>
      </w:r>
    </w:p>
    <w:p w14:paraId="002C9FA6" w14:textId="77777777" w:rsidR="001802C8" w:rsidRDefault="0071541E">
      <w:pPr>
        <w:widowControl/>
        <w:spacing w:after="0"/>
        <w:ind w:firstLine="360"/>
      </w:pPr>
      <w:r>
        <w:rPr>
          <w:b/>
        </w:rPr>
        <w:t>Marmara University Erasmus+ Commission</w:t>
      </w:r>
      <w:r>
        <w:t xml:space="preserve"> will evaluate your application on the basis of the following criteria: </w:t>
      </w:r>
    </w:p>
    <w:p w14:paraId="4AF54CBD" w14:textId="77777777" w:rsidR="001802C8" w:rsidRDefault="007D66A4">
      <w:pPr>
        <w:widowControl/>
        <w:numPr>
          <w:ilvl w:val="0"/>
          <w:numId w:val="5"/>
        </w:numPr>
        <w:spacing w:after="0"/>
      </w:pPr>
      <w:r>
        <w:t>Academic GPA (7</w:t>
      </w:r>
      <w:r w:rsidR="0071541E">
        <w:t>0%)</w:t>
      </w:r>
    </w:p>
    <w:p w14:paraId="3F8DD9A9" w14:textId="77777777" w:rsidR="001802C8" w:rsidRDefault="007D66A4">
      <w:pPr>
        <w:widowControl/>
        <w:numPr>
          <w:ilvl w:val="0"/>
          <w:numId w:val="5"/>
        </w:numPr>
        <w:spacing w:after="0"/>
      </w:pPr>
      <w:r>
        <w:lastRenderedPageBreak/>
        <w:t xml:space="preserve">Language </w:t>
      </w:r>
      <w:proofErr w:type="spellStart"/>
      <w:r>
        <w:t>Language</w:t>
      </w:r>
      <w:proofErr w:type="spellEnd"/>
      <w:r>
        <w:t xml:space="preserve"> (1</w:t>
      </w:r>
      <w:r w:rsidR="0071541E">
        <w:t>0%)</w:t>
      </w:r>
    </w:p>
    <w:p w14:paraId="3FE3F8F1" w14:textId="77777777" w:rsidR="007D66A4" w:rsidRDefault="007D66A4">
      <w:pPr>
        <w:widowControl/>
        <w:numPr>
          <w:ilvl w:val="0"/>
          <w:numId w:val="5"/>
        </w:numPr>
        <w:spacing w:after="0"/>
      </w:pPr>
      <w:r>
        <w:t>Interview (20%)</w:t>
      </w:r>
    </w:p>
    <w:p w14:paraId="27D21982" w14:textId="77777777" w:rsidR="001802C8" w:rsidRDefault="0071541E">
      <w:pPr>
        <w:widowControl/>
        <w:numPr>
          <w:ilvl w:val="0"/>
          <w:numId w:val="5"/>
        </w:numPr>
        <w:spacing w:after="0"/>
      </w:pPr>
      <w:r>
        <w:t xml:space="preserve">-10 for previous participation in any Erasmus’ programs within current study level </w:t>
      </w:r>
    </w:p>
    <w:p w14:paraId="42294F8B" w14:textId="77777777" w:rsidR="001802C8" w:rsidRDefault="007D66A4">
      <w:pPr>
        <w:widowControl/>
        <w:numPr>
          <w:ilvl w:val="0"/>
          <w:numId w:val="5"/>
        </w:numPr>
        <w:spacing w:after="0"/>
      </w:pPr>
      <w:r>
        <w:t>Disabled</w:t>
      </w:r>
      <w:r w:rsidR="0071541E">
        <w:t xml:space="preserve"> students (The statement from a doctor or other relevant authority confirming the special needs should be submitted to the International Relations Office during the application period): +10 points</w:t>
      </w:r>
    </w:p>
    <w:p w14:paraId="45DD4DA1" w14:textId="77777777" w:rsidR="001802C8" w:rsidRDefault="0071541E">
      <w:pPr>
        <w:widowControl/>
        <w:numPr>
          <w:ilvl w:val="0"/>
          <w:numId w:val="5"/>
        </w:numPr>
        <w:spacing w:after="0"/>
      </w:pPr>
      <w:r>
        <w:t xml:space="preserve">Participation in Erasmus </w:t>
      </w:r>
      <w:proofErr w:type="spellStart"/>
      <w:r>
        <w:t>programme</w:t>
      </w:r>
      <w:proofErr w:type="spellEnd"/>
      <w:r>
        <w:t xml:space="preserve"> in the country of nationality: - 10 points </w:t>
      </w:r>
    </w:p>
    <w:p w14:paraId="55F7F3ED" w14:textId="77777777" w:rsidR="001802C8" w:rsidRPr="007D66A4" w:rsidRDefault="0071541E" w:rsidP="007D66A4">
      <w:pPr>
        <w:widowControl/>
        <w:numPr>
          <w:ilvl w:val="0"/>
          <w:numId w:val="5"/>
        </w:numPr>
        <w:pBdr>
          <w:top w:val="nil"/>
          <w:left w:val="nil"/>
          <w:bottom w:val="nil"/>
          <w:right w:val="nil"/>
          <w:between w:val="nil"/>
        </w:pBdr>
        <w:spacing w:after="0" w:line="259" w:lineRule="auto"/>
        <w:rPr>
          <w:color w:val="000000"/>
        </w:rPr>
      </w:pPr>
      <w:r>
        <w:rPr>
          <w:color w:val="000000"/>
        </w:rPr>
        <w:t xml:space="preserve">Relatives of martyr or veteran *: </w:t>
      </w:r>
      <w:r>
        <w:rPr>
          <w:b/>
          <w:color w:val="000000"/>
        </w:rPr>
        <w:t>+ 10 points</w:t>
      </w:r>
    </w:p>
    <w:p w14:paraId="2455AE28" w14:textId="77777777" w:rsidR="001802C8" w:rsidRDefault="0071541E">
      <w:pPr>
        <w:tabs>
          <w:tab w:val="left" w:pos="820"/>
        </w:tabs>
        <w:spacing w:after="0" w:line="240" w:lineRule="auto"/>
        <w:jc w:val="both"/>
      </w:pPr>
      <w:r>
        <w:tab/>
      </w:r>
    </w:p>
    <w:p w14:paraId="0606ECF5" w14:textId="77777777" w:rsidR="001802C8" w:rsidRDefault="0071541E">
      <w:pPr>
        <w:pStyle w:val="Heading3"/>
        <w:rPr>
          <w:rFonts w:ascii="Calibri" w:eastAsia="Calibri" w:hAnsi="Calibri" w:cs="Calibri"/>
          <w:color w:val="000000"/>
        </w:rPr>
      </w:pPr>
      <w:r>
        <w:rPr>
          <w:rFonts w:ascii="Calibri" w:eastAsia="Calibri" w:hAnsi="Calibri" w:cs="Calibri"/>
          <w:color w:val="000000"/>
        </w:rPr>
        <w:t xml:space="preserve">MOBILITY DURATION </w:t>
      </w:r>
    </w:p>
    <w:p w14:paraId="52BD1DDD" w14:textId="7736EAE2" w:rsidR="001802C8" w:rsidRDefault="00AA7531">
      <w:pPr>
        <w:spacing w:after="0" w:line="240" w:lineRule="auto"/>
        <w:jc w:val="both"/>
        <w:rPr>
          <w:color w:val="FF0000"/>
        </w:rPr>
      </w:pPr>
      <w:r>
        <w:rPr>
          <w:color w:val="FF0000"/>
        </w:rPr>
        <w:t xml:space="preserve">2 months. All </w:t>
      </w:r>
      <w:r w:rsidR="000F690D">
        <w:rPr>
          <w:color w:val="FF0000"/>
        </w:rPr>
        <w:t>motilities</w:t>
      </w:r>
      <w:r>
        <w:rPr>
          <w:color w:val="FF0000"/>
        </w:rPr>
        <w:t xml:space="preserve"> must be completed until 31 May 2023. </w:t>
      </w:r>
    </w:p>
    <w:p w14:paraId="3C2F7D3A" w14:textId="77777777" w:rsidR="001802C8" w:rsidRDefault="0071541E">
      <w:pPr>
        <w:spacing w:after="0" w:line="240" w:lineRule="auto"/>
        <w:jc w:val="both"/>
      </w:pPr>
      <w:r>
        <w:t>Erasmus+ International Credit Mobility for Traineeship needs to be at least 2 months long. Any mobility under that threshold will be invalid.</w:t>
      </w:r>
    </w:p>
    <w:p w14:paraId="04E40107" w14:textId="77777777" w:rsidR="001802C8" w:rsidRDefault="001802C8">
      <w:pPr>
        <w:spacing w:after="0" w:line="240" w:lineRule="auto"/>
        <w:jc w:val="both"/>
      </w:pPr>
    </w:p>
    <w:p w14:paraId="3A080CAF" w14:textId="77777777" w:rsidR="001802C8" w:rsidRDefault="0071541E">
      <w:pPr>
        <w:pStyle w:val="Heading3"/>
        <w:rPr>
          <w:rFonts w:ascii="Calibri" w:eastAsia="Calibri" w:hAnsi="Calibri" w:cs="Calibri"/>
          <w:color w:val="000000"/>
        </w:rPr>
      </w:pPr>
      <w:r>
        <w:rPr>
          <w:rFonts w:ascii="Calibri" w:eastAsia="Calibri" w:hAnsi="Calibri" w:cs="Calibri"/>
          <w:color w:val="000000"/>
        </w:rPr>
        <w:t>GRANT</w:t>
      </w:r>
    </w:p>
    <w:p w14:paraId="61DB76AE" w14:textId="77777777" w:rsidR="001802C8" w:rsidRDefault="001802C8">
      <w:pPr>
        <w:spacing w:after="0" w:line="240" w:lineRule="auto"/>
        <w:jc w:val="both"/>
      </w:pPr>
    </w:p>
    <w:p w14:paraId="3B64DAA3" w14:textId="77777777" w:rsidR="001802C8" w:rsidRDefault="0071541E">
      <w:pPr>
        <w:spacing w:after="0" w:line="240" w:lineRule="auto"/>
        <w:jc w:val="both"/>
      </w:pPr>
      <w:r>
        <w:rPr>
          <w:b/>
        </w:rPr>
        <w:t>ICM with Grant Option</w:t>
      </w:r>
    </w:p>
    <w:p w14:paraId="2724687F" w14:textId="77777777" w:rsidR="001802C8" w:rsidRDefault="0071541E">
      <w:pPr>
        <w:spacing w:after="0" w:line="240" w:lineRule="auto"/>
        <w:jc w:val="both"/>
      </w:pPr>
      <w:r>
        <w:t>Students may be awarded an Erasmus+ ICM grant to help cover their living expenses during their mobility period. Grant payment is subject to the amount of applications received and availability of funds from the Turkish National Agency. Please note that Erasmus grants are only contribution, meaning may not suffice for all your expenses and students are responsible for their own travelling costs and living expenses during the exchange.</w:t>
      </w:r>
    </w:p>
    <w:p w14:paraId="3AC99C57" w14:textId="77777777" w:rsidR="001802C8" w:rsidRDefault="001802C8">
      <w:pPr>
        <w:spacing w:after="0" w:line="240" w:lineRule="auto"/>
        <w:jc w:val="both"/>
      </w:pPr>
    </w:p>
    <w:p w14:paraId="637F8507" w14:textId="77777777" w:rsidR="001802C8" w:rsidRDefault="0071541E">
      <w:pPr>
        <w:spacing w:after="0" w:line="240" w:lineRule="auto"/>
        <w:jc w:val="both"/>
      </w:pPr>
      <w:r>
        <w:t xml:space="preserve">In addition to the Erasmus+ ICM individual grant, selected students for Erasmus+ ICM grant receive travel </w:t>
      </w:r>
      <w:r w:rsidR="00963535">
        <w:t>support.</w:t>
      </w:r>
    </w:p>
    <w:p w14:paraId="2E1F4C10" w14:textId="77777777" w:rsidR="001802C8" w:rsidRDefault="001802C8">
      <w:pPr>
        <w:spacing w:after="0" w:line="240" w:lineRule="auto"/>
        <w:jc w:val="both"/>
      </w:pPr>
    </w:p>
    <w:p w14:paraId="01B5D895" w14:textId="77777777" w:rsidR="001802C8" w:rsidRDefault="0071541E">
      <w:pPr>
        <w:spacing w:after="0" w:line="240" w:lineRule="auto"/>
        <w:jc w:val="both"/>
      </w:pPr>
      <w:r>
        <w:t> </w:t>
      </w:r>
    </w:p>
    <w:tbl>
      <w:tblPr>
        <w:tblStyle w:val="a0"/>
        <w:tblW w:w="6513"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31"/>
        <w:gridCol w:w="2822"/>
        <w:gridCol w:w="1860"/>
      </w:tblGrid>
      <w:tr w:rsidR="001802C8" w14:paraId="153CCD5C" w14:textId="77777777">
        <w:trPr>
          <w:trHeight w:val="346"/>
        </w:trPr>
        <w:tc>
          <w:tcPr>
            <w:tcW w:w="1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8428CA5" w14:textId="77777777" w:rsidR="001802C8" w:rsidRDefault="0071541E">
            <w:pPr>
              <w:spacing w:after="0" w:line="240" w:lineRule="auto"/>
              <w:jc w:val="both"/>
            </w:pPr>
            <w:r>
              <w:rPr>
                <w:b/>
              </w:rPr>
              <w:t>Partner Countries</w:t>
            </w:r>
          </w:p>
        </w:tc>
        <w:tc>
          <w:tcPr>
            <w:tcW w:w="28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6C1A587A" w14:textId="77777777" w:rsidR="001802C8" w:rsidRDefault="0071541E">
            <w:pPr>
              <w:spacing w:after="0" w:line="240" w:lineRule="auto"/>
              <w:jc w:val="both"/>
            </w:pPr>
            <w:r>
              <w:rPr>
                <w:b/>
              </w:rPr>
              <w:t>Monthly Individual Grant (€)</w:t>
            </w:r>
          </w:p>
        </w:tc>
        <w:tc>
          <w:tcPr>
            <w:tcW w:w="18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9C13C8D" w14:textId="77777777" w:rsidR="001802C8" w:rsidRDefault="0071541E">
            <w:pPr>
              <w:spacing w:after="0" w:line="240" w:lineRule="auto"/>
              <w:jc w:val="both"/>
            </w:pPr>
            <w:r>
              <w:rPr>
                <w:b/>
              </w:rPr>
              <w:t>Travel Support (€)</w:t>
            </w:r>
          </w:p>
        </w:tc>
      </w:tr>
      <w:tr w:rsidR="001802C8" w14:paraId="01D0EDC3" w14:textId="77777777">
        <w:trPr>
          <w:trHeight w:val="346"/>
        </w:trPr>
        <w:tc>
          <w:tcPr>
            <w:tcW w:w="183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89EF79F" w14:textId="77777777" w:rsidR="001802C8" w:rsidRDefault="00963535">
            <w:pPr>
              <w:pBdr>
                <w:top w:val="nil"/>
                <w:left w:val="nil"/>
                <w:bottom w:val="nil"/>
                <w:right w:val="nil"/>
                <w:between w:val="nil"/>
              </w:pBdr>
              <w:spacing w:before="49" w:after="0" w:line="240" w:lineRule="auto"/>
              <w:rPr>
                <w:color w:val="000000"/>
              </w:rPr>
            </w:pPr>
            <w:r>
              <w:rPr>
                <w:color w:val="000000"/>
              </w:rPr>
              <w:t>Turkey</w:t>
            </w:r>
          </w:p>
        </w:tc>
        <w:tc>
          <w:tcPr>
            <w:tcW w:w="282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8E6740" w14:textId="77777777" w:rsidR="001802C8" w:rsidRDefault="0071541E">
            <w:pPr>
              <w:spacing w:after="0" w:line="240" w:lineRule="auto"/>
              <w:jc w:val="both"/>
            </w:pPr>
            <w:r>
              <w:t>800</w:t>
            </w:r>
          </w:p>
        </w:tc>
        <w:tc>
          <w:tcPr>
            <w:tcW w:w="186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1BEFF2" w14:textId="77777777" w:rsidR="001802C8" w:rsidRDefault="0071541E">
            <w:pPr>
              <w:spacing w:after="0" w:line="240" w:lineRule="auto"/>
              <w:jc w:val="both"/>
            </w:pPr>
            <w:r>
              <w:t>530</w:t>
            </w:r>
          </w:p>
        </w:tc>
      </w:tr>
    </w:tbl>
    <w:p w14:paraId="473DF2F5" w14:textId="77777777" w:rsidR="001802C8" w:rsidRDefault="001802C8">
      <w:pPr>
        <w:spacing w:after="0" w:line="240" w:lineRule="auto"/>
        <w:jc w:val="both"/>
      </w:pPr>
    </w:p>
    <w:p w14:paraId="2E9E85C9" w14:textId="77777777" w:rsidR="001802C8" w:rsidRDefault="0071541E">
      <w:pPr>
        <w:spacing w:after="0" w:line="240" w:lineRule="auto"/>
        <w:jc w:val="both"/>
      </w:pPr>
      <w:r>
        <w:t>Total amount you receive is calculated on the basis of months and days you actually spend in exchange.</w:t>
      </w:r>
    </w:p>
    <w:p w14:paraId="127F4644" w14:textId="77777777" w:rsidR="001802C8" w:rsidRDefault="001802C8">
      <w:pPr>
        <w:spacing w:after="0" w:line="240" w:lineRule="auto"/>
        <w:jc w:val="both"/>
      </w:pPr>
    </w:p>
    <w:p w14:paraId="37B754CD" w14:textId="77777777" w:rsidR="001802C8" w:rsidRDefault="0071541E">
      <w:pPr>
        <w:spacing w:after="0" w:line="240" w:lineRule="auto"/>
        <w:jc w:val="both"/>
      </w:pPr>
      <w:r>
        <w:t>The grant is usually paid in two instalments:</w:t>
      </w:r>
    </w:p>
    <w:p w14:paraId="0F3D1BDC" w14:textId="77777777" w:rsidR="001802C8" w:rsidRDefault="0071541E">
      <w:pPr>
        <w:numPr>
          <w:ilvl w:val="0"/>
          <w:numId w:val="1"/>
        </w:numPr>
        <w:spacing w:after="0" w:line="240" w:lineRule="auto"/>
        <w:jc w:val="both"/>
      </w:pPr>
      <w:r>
        <w:rPr>
          <w:color w:val="FF0000"/>
        </w:rPr>
        <w:t>​</w:t>
      </w:r>
      <w:r>
        <w:t>The first installment (80% of the total amount and total travel support) is paid within 45 days of signing the mobility grant agreement which h</w:t>
      </w:r>
      <w:r w:rsidR="00963535">
        <w:t xml:space="preserve">as to be signed by student and COMSATS </w:t>
      </w:r>
      <w:r>
        <w:t>University.</w:t>
      </w:r>
    </w:p>
    <w:p w14:paraId="3662832A" w14:textId="77777777" w:rsidR="001802C8" w:rsidRDefault="0071541E">
      <w:pPr>
        <w:numPr>
          <w:ilvl w:val="0"/>
          <w:numId w:val="1"/>
        </w:numPr>
        <w:spacing w:after="0" w:line="240" w:lineRule="auto"/>
        <w:jc w:val="both"/>
      </w:pPr>
      <w:r>
        <w:t>The remaining 20% is paid after the participant returns and upon proper delivery of all the required final mobility documents. This second installment will not be paid until all the required documents are submitted.</w:t>
      </w:r>
    </w:p>
    <w:p w14:paraId="7C4EBD98" w14:textId="77777777" w:rsidR="001802C8" w:rsidRDefault="0071541E">
      <w:pPr>
        <w:spacing w:after="0" w:line="240" w:lineRule="auto"/>
        <w:jc w:val="both"/>
      </w:pPr>
      <w:r>
        <w:t>IMPORTANT NOTE: You will not be able to receive remaining 20% of the Erasmus grant if you cannot receive satisfactory marks in 2/3 of the courses that you take at the host (partner) university.</w:t>
      </w:r>
    </w:p>
    <w:p w14:paraId="73CC5A2A" w14:textId="77777777" w:rsidR="001802C8" w:rsidRDefault="001802C8">
      <w:pPr>
        <w:spacing w:after="0" w:line="240" w:lineRule="auto"/>
        <w:jc w:val="both"/>
      </w:pPr>
    </w:p>
    <w:p w14:paraId="01ABF778" w14:textId="77777777" w:rsidR="001802C8" w:rsidRDefault="0071541E">
      <w:pPr>
        <w:spacing w:after="0" w:line="240" w:lineRule="auto"/>
        <w:jc w:val="both"/>
      </w:pPr>
      <w:r>
        <w:rPr>
          <w:b/>
        </w:rPr>
        <w:t>Additional Grant Opportunity for Students with Special Needs</w:t>
      </w:r>
    </w:p>
    <w:p w14:paraId="3D4173F6" w14:textId="77777777" w:rsidR="001802C8" w:rsidRDefault="0071541E">
      <w:pPr>
        <w:spacing w:after="0" w:line="240" w:lineRule="auto"/>
        <w:jc w:val="both"/>
      </w:pPr>
      <w:r>
        <w:t xml:space="preserve">Additional grants are available for students with special needs who wish to participate in Erasmus+ ICM </w:t>
      </w:r>
      <w:proofErr w:type="spellStart"/>
      <w:r>
        <w:t>programme</w:t>
      </w:r>
      <w:proofErr w:type="spellEnd"/>
      <w:r>
        <w:t xml:space="preserve"> and where participation would not be possible without extra financial support. In order to learn more about additional grant opportunities for students with special needs, please get in contact with International Relations Office.</w:t>
      </w:r>
    </w:p>
    <w:p w14:paraId="130A7525" w14:textId="77777777" w:rsidR="001802C8" w:rsidRDefault="001802C8">
      <w:pPr>
        <w:spacing w:after="0" w:line="240" w:lineRule="auto"/>
        <w:jc w:val="both"/>
      </w:pPr>
    </w:p>
    <w:p w14:paraId="133CCF95" w14:textId="77777777" w:rsidR="001802C8" w:rsidRDefault="0071541E">
      <w:pPr>
        <w:spacing w:after="0" w:line="240" w:lineRule="auto"/>
        <w:jc w:val="both"/>
      </w:pPr>
      <w:r>
        <w:t xml:space="preserve">Students with special needs may receive additional grant for their study mobility abroad. Please check our webpage for the detailed information. </w:t>
      </w:r>
    </w:p>
    <w:p w14:paraId="1EF43104" w14:textId="77777777" w:rsidR="001802C8" w:rsidRDefault="001802C8">
      <w:pPr>
        <w:tabs>
          <w:tab w:val="left" w:pos="820"/>
        </w:tabs>
        <w:spacing w:before="2" w:after="0" w:line="240" w:lineRule="auto"/>
        <w:jc w:val="both"/>
      </w:pPr>
    </w:p>
    <w:p w14:paraId="19092E89" w14:textId="77777777" w:rsidR="001802C8" w:rsidRDefault="0071541E">
      <w:pPr>
        <w:pStyle w:val="Heading3"/>
        <w:rPr>
          <w:rFonts w:ascii="Calibri" w:eastAsia="Calibri" w:hAnsi="Calibri" w:cs="Calibri"/>
          <w:color w:val="000000"/>
        </w:rPr>
      </w:pPr>
      <w:r>
        <w:rPr>
          <w:rFonts w:ascii="Calibri" w:eastAsia="Calibri" w:hAnsi="Calibri" w:cs="Calibri"/>
          <w:color w:val="000000"/>
        </w:rPr>
        <w:t>Final Note</w:t>
      </w:r>
    </w:p>
    <w:p w14:paraId="104B0D92" w14:textId="77777777" w:rsidR="001802C8" w:rsidRDefault="0071541E">
      <w:pPr>
        <w:spacing w:after="0"/>
        <w:jc w:val="both"/>
        <w:rPr>
          <w:u w:val="single"/>
        </w:rPr>
      </w:pPr>
      <w:r>
        <w:t xml:space="preserve">Any queries regarding application process are to be made to the </w:t>
      </w:r>
      <w:r w:rsidR="00963535">
        <w:t>Manager IRCBM ircbm@cuilahore.edu.pk</w:t>
      </w:r>
    </w:p>
    <w:p w14:paraId="2A545EAD" w14:textId="77777777" w:rsidR="001802C8" w:rsidRDefault="0071541E">
      <w:pPr>
        <w:spacing w:after="0"/>
        <w:jc w:val="both"/>
      </w:pPr>
      <w:r>
        <w:t>We wish you best of luck with your applications.</w:t>
      </w:r>
    </w:p>
    <w:sectPr w:rsidR="001802C8">
      <w:headerReference w:type="default" r:id="rId11"/>
      <w:footerReference w:type="default" r:id="rId12"/>
      <w:pgSz w:w="11920" w:h="16840"/>
      <w:pgMar w:top="720" w:right="720" w:bottom="720" w:left="720" w:header="749"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07A68" w14:textId="77777777" w:rsidR="00711F9D" w:rsidRDefault="00711F9D">
      <w:pPr>
        <w:spacing w:after="0" w:line="240" w:lineRule="auto"/>
      </w:pPr>
      <w:r>
        <w:separator/>
      </w:r>
    </w:p>
  </w:endnote>
  <w:endnote w:type="continuationSeparator" w:id="0">
    <w:p w14:paraId="756595D4" w14:textId="77777777" w:rsidR="00711F9D" w:rsidRDefault="0071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1782" w14:textId="7D09ACB0" w:rsidR="001802C8" w:rsidRDefault="0071541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61241">
      <w:rPr>
        <w:noProof/>
        <w:color w:val="000000"/>
      </w:rPr>
      <w:t>2</w:t>
    </w:r>
    <w:r>
      <w:rPr>
        <w:color w:val="000000"/>
      </w:rPr>
      <w:fldChar w:fldCharType="end"/>
    </w:r>
  </w:p>
  <w:p w14:paraId="6C01D83A" w14:textId="77777777" w:rsidR="001802C8" w:rsidRDefault="001802C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95CB3" w14:textId="77777777" w:rsidR="00711F9D" w:rsidRDefault="00711F9D">
      <w:pPr>
        <w:spacing w:after="0" w:line="240" w:lineRule="auto"/>
      </w:pPr>
      <w:r>
        <w:separator/>
      </w:r>
    </w:p>
  </w:footnote>
  <w:footnote w:type="continuationSeparator" w:id="0">
    <w:p w14:paraId="2A2E6897" w14:textId="77777777" w:rsidR="00711F9D" w:rsidRDefault="00711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99CB" w14:textId="77777777" w:rsidR="001802C8" w:rsidRDefault="0071541E">
    <w:pPr>
      <w:spacing w:after="0" w:line="200" w:lineRule="auto"/>
      <w:rPr>
        <w:sz w:val="20"/>
        <w:szCs w:val="20"/>
      </w:rPr>
    </w:pPr>
    <w:r>
      <w:rPr>
        <w:noProof/>
        <w:lang w:eastAsia="en-US"/>
      </w:rPr>
      <mc:AlternateContent>
        <mc:Choice Requires="wps">
          <w:drawing>
            <wp:anchor distT="0" distB="0" distL="0" distR="0" simplePos="0" relativeHeight="251658240" behindDoc="1" locked="0" layoutInCell="1" hidden="0" allowOverlap="1" wp14:anchorId="03D72A61" wp14:editId="70818B99">
              <wp:simplePos x="0" y="0"/>
              <wp:positionH relativeFrom="page">
                <wp:posOffset>881698</wp:posOffset>
              </wp:positionH>
              <wp:positionV relativeFrom="page">
                <wp:posOffset>458153</wp:posOffset>
              </wp:positionV>
              <wp:extent cx="652145" cy="175260"/>
              <wp:effectExtent l="0" t="0" r="0" b="0"/>
              <wp:wrapNone/>
              <wp:docPr id="7" name="Dikdörtgen 7"/>
              <wp:cNvGraphicFramePr/>
              <a:graphic xmlns:a="http://schemas.openxmlformats.org/drawingml/2006/main">
                <a:graphicData uri="http://schemas.microsoft.com/office/word/2010/wordprocessingShape">
                  <wps:wsp>
                    <wps:cNvSpPr/>
                    <wps:spPr>
                      <a:xfrm>
                        <a:off x="5024690" y="3697133"/>
                        <a:ext cx="642620" cy="165735"/>
                      </a:xfrm>
                      <a:prstGeom prst="rect">
                        <a:avLst/>
                      </a:prstGeom>
                      <a:noFill/>
                      <a:ln>
                        <a:noFill/>
                      </a:ln>
                    </wps:spPr>
                    <wps:txbx>
                      <w:txbxContent>
                        <w:p w14:paraId="34D56DE9" w14:textId="77777777" w:rsidR="001802C8" w:rsidRDefault="001802C8">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03D72A61" id="Dikdörtgen 7" o:spid="_x0000_s1026" style="position:absolute;margin-left:69.45pt;margin-top:36.1pt;width:51.35pt;height:13.8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" filled="f" stroked="f">
              <v:textbox inset="0,0,0,0">
                <w:txbxContent>
                  <w:p w14:paraId="34D56DE9" w14:textId="77777777" w:rsidR="001802C8" w:rsidRDefault="001802C8">
                    <w:pPr>
                      <w:spacing w:line="275" w:lineRule="auto"/>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611A"/>
    <w:multiLevelType w:val="multilevel"/>
    <w:tmpl w:val="F3D4D6B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
      <w:lvlJc w:val="left"/>
      <w:pPr>
        <w:ind w:left="1428" w:hanging="360"/>
      </w:pPr>
      <w:rPr>
        <w:rFonts w:ascii="Noto Sans Symbols" w:eastAsia="Noto Sans Symbols" w:hAnsi="Noto Sans Symbols" w:cs="Noto Sans Symbols"/>
      </w:rPr>
    </w:lvl>
    <w:lvl w:ilvl="2">
      <w:start w:val="1"/>
      <w:numFmt w:val="bullet"/>
      <w:lvlText w:val="▪"/>
      <w:lvlJc w:val="left"/>
      <w:pPr>
        <w:ind w:left="1788" w:hanging="360"/>
      </w:pPr>
      <w:rPr>
        <w:rFonts w:ascii="Noto Sans Symbols" w:eastAsia="Noto Sans Symbols" w:hAnsi="Noto Sans Symbols" w:cs="Noto Sans Symbols"/>
      </w:rPr>
    </w:lvl>
    <w:lvl w:ilvl="3">
      <w:start w:val="1"/>
      <w:numFmt w:val="bullet"/>
      <w:lvlText w:val="●"/>
      <w:lvlJc w:val="left"/>
      <w:pPr>
        <w:ind w:left="2148" w:hanging="360"/>
      </w:pPr>
      <w:rPr>
        <w:rFonts w:ascii="Noto Sans Symbols" w:eastAsia="Noto Sans Symbols" w:hAnsi="Noto Sans Symbols" w:cs="Noto Sans Symbols"/>
      </w:rPr>
    </w:lvl>
    <w:lvl w:ilvl="4">
      <w:start w:val="1"/>
      <w:numFmt w:val="bullet"/>
      <w:lvlText w:val="♦"/>
      <w:lvlJc w:val="left"/>
      <w:pPr>
        <w:ind w:left="2508" w:hanging="360"/>
      </w:pPr>
      <w:rPr>
        <w:rFonts w:ascii="Noto Sans Symbols" w:eastAsia="Noto Sans Symbols" w:hAnsi="Noto Sans Symbols" w:cs="Noto Sans Symbols"/>
      </w:rPr>
    </w:lvl>
    <w:lvl w:ilvl="5">
      <w:start w:val="1"/>
      <w:numFmt w:val="bullet"/>
      <w:lvlText w:val="⮚"/>
      <w:lvlJc w:val="left"/>
      <w:pPr>
        <w:ind w:left="2868" w:hanging="360"/>
      </w:pPr>
      <w:rPr>
        <w:rFonts w:ascii="Noto Sans Symbols" w:eastAsia="Noto Sans Symbols" w:hAnsi="Noto Sans Symbols" w:cs="Noto Sans Symbols"/>
      </w:rPr>
    </w:lvl>
    <w:lvl w:ilvl="6">
      <w:start w:val="1"/>
      <w:numFmt w:val="bullet"/>
      <w:lvlText w:val="▪"/>
      <w:lvlJc w:val="left"/>
      <w:pPr>
        <w:ind w:left="3228" w:hanging="360"/>
      </w:pPr>
      <w:rPr>
        <w:rFonts w:ascii="Noto Sans Symbols" w:eastAsia="Noto Sans Symbols" w:hAnsi="Noto Sans Symbols" w:cs="Noto Sans Symbols"/>
      </w:rPr>
    </w:lvl>
    <w:lvl w:ilvl="7">
      <w:start w:val="1"/>
      <w:numFmt w:val="bullet"/>
      <w:lvlText w:val="●"/>
      <w:lvlJc w:val="left"/>
      <w:pPr>
        <w:ind w:left="3588" w:hanging="360"/>
      </w:pPr>
      <w:rPr>
        <w:rFonts w:ascii="Noto Sans Symbols" w:eastAsia="Noto Sans Symbols" w:hAnsi="Noto Sans Symbols" w:cs="Noto Sans Symbols"/>
      </w:rPr>
    </w:lvl>
    <w:lvl w:ilvl="8">
      <w:start w:val="1"/>
      <w:numFmt w:val="bullet"/>
      <w:lvlText w:val="♦"/>
      <w:lvlJc w:val="left"/>
      <w:pPr>
        <w:ind w:left="3948" w:hanging="360"/>
      </w:pPr>
      <w:rPr>
        <w:rFonts w:ascii="Noto Sans Symbols" w:eastAsia="Noto Sans Symbols" w:hAnsi="Noto Sans Symbols" w:cs="Noto Sans Symbols"/>
      </w:rPr>
    </w:lvl>
  </w:abstractNum>
  <w:abstractNum w:abstractNumId="1" w15:restartNumberingAfterBreak="0">
    <w:nsid w:val="13FF57C8"/>
    <w:multiLevelType w:val="multilevel"/>
    <w:tmpl w:val="CFCC6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0F4807"/>
    <w:multiLevelType w:val="multilevel"/>
    <w:tmpl w:val="E8B873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3982865"/>
    <w:multiLevelType w:val="multilevel"/>
    <w:tmpl w:val="E58CF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F77FA4"/>
    <w:multiLevelType w:val="multilevel"/>
    <w:tmpl w:val="0AAE2D96"/>
    <w:lvl w:ilvl="0">
      <w:start w:val="1"/>
      <w:numFmt w:val="decimal"/>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64927BEE"/>
    <w:multiLevelType w:val="multilevel"/>
    <w:tmpl w:val="7FD0D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C8"/>
    <w:rsid w:val="000771D1"/>
    <w:rsid w:val="000F690D"/>
    <w:rsid w:val="001802C8"/>
    <w:rsid w:val="00361241"/>
    <w:rsid w:val="003A5A52"/>
    <w:rsid w:val="004C778C"/>
    <w:rsid w:val="004E01C5"/>
    <w:rsid w:val="00505A7B"/>
    <w:rsid w:val="00523851"/>
    <w:rsid w:val="006C5071"/>
    <w:rsid w:val="00711F9D"/>
    <w:rsid w:val="0071541E"/>
    <w:rsid w:val="00777DA0"/>
    <w:rsid w:val="007D66A4"/>
    <w:rsid w:val="008B319F"/>
    <w:rsid w:val="008C2812"/>
    <w:rsid w:val="00963535"/>
    <w:rsid w:val="00980A70"/>
    <w:rsid w:val="009F77CC"/>
    <w:rsid w:val="00AA7531"/>
    <w:rsid w:val="00CF3A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FC8D"/>
  <w15:docId w15:val="{6BCBBE93-D27A-49F4-AAF4-007BDDFA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tr-T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333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04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26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31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28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E4"/>
    <w:rPr>
      <w:rFonts w:ascii="Tahoma" w:hAnsi="Tahoma" w:cs="Tahoma"/>
      <w:sz w:val="16"/>
      <w:szCs w:val="16"/>
    </w:rPr>
  </w:style>
  <w:style w:type="paragraph" w:styleId="Header">
    <w:name w:val="header"/>
    <w:basedOn w:val="Normal"/>
    <w:link w:val="HeaderChar"/>
    <w:uiPriority w:val="99"/>
    <w:unhideWhenUsed/>
    <w:rsid w:val="00DB3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3A87"/>
  </w:style>
  <w:style w:type="paragraph" w:styleId="Footer">
    <w:name w:val="footer"/>
    <w:basedOn w:val="Normal"/>
    <w:link w:val="FooterChar"/>
    <w:uiPriority w:val="99"/>
    <w:unhideWhenUsed/>
    <w:rsid w:val="00DB3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3A87"/>
  </w:style>
  <w:style w:type="character" w:styleId="Hyperlink">
    <w:name w:val="Hyperlink"/>
    <w:basedOn w:val="DefaultParagraphFont"/>
    <w:uiPriority w:val="99"/>
    <w:unhideWhenUsed/>
    <w:rsid w:val="00C73265"/>
    <w:rPr>
      <w:color w:val="6B9F25"/>
      <w:u w:val="single"/>
    </w:rPr>
  </w:style>
  <w:style w:type="table" w:styleId="LightShading-Accent5">
    <w:name w:val="Light Shading Accent 5"/>
    <w:basedOn w:val="TableNormal"/>
    <w:uiPriority w:val="60"/>
    <w:rsid w:val="00B66B1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B66B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B66B1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66B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B66B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B66B1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B66B1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9D5F34"/>
    <w:pPr>
      <w:ind w:left="720"/>
      <w:contextualSpacing/>
    </w:pPr>
  </w:style>
  <w:style w:type="character" w:customStyle="1" w:styleId="Heading1Char">
    <w:name w:val="Heading 1 Char"/>
    <w:basedOn w:val="DefaultParagraphFont"/>
    <w:link w:val="Heading1"/>
    <w:uiPriority w:val="9"/>
    <w:rsid w:val="00333C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040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16870"/>
    <w:rPr>
      <w:color w:val="800080" w:themeColor="followedHyperlink"/>
      <w:u w:val="single"/>
    </w:rPr>
  </w:style>
  <w:style w:type="character" w:customStyle="1" w:styleId="Heading3Char">
    <w:name w:val="Heading 3 Char"/>
    <w:basedOn w:val="DefaultParagraphFont"/>
    <w:link w:val="Heading3"/>
    <w:uiPriority w:val="9"/>
    <w:rsid w:val="00A326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3192"/>
    <w:rPr>
      <w:rFonts w:asciiTheme="majorHAnsi" w:eastAsiaTheme="majorEastAsia" w:hAnsiTheme="majorHAnsi" w:cstheme="majorBidi"/>
      <w:b/>
      <w:bCs/>
      <w:i/>
      <w:iCs/>
      <w:color w:val="4F81BD" w:themeColor="accent1"/>
    </w:rPr>
  </w:style>
  <w:style w:type="table" w:styleId="MediumShading2-Accent6">
    <w:name w:val="Medium Shading 2 Accent 6"/>
    <w:basedOn w:val="TableNormal"/>
    <w:uiPriority w:val="64"/>
    <w:rsid w:val="008501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501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Light">
    <w:name w:val="Grid Table Light"/>
    <w:basedOn w:val="TableNormal"/>
    <w:uiPriority w:val="40"/>
    <w:rsid w:val="00FD0A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9E6EEC"/>
    <w:pPr>
      <w:autoSpaceDE w:val="0"/>
      <w:autoSpaceDN w:val="0"/>
      <w:spacing w:before="49" w:after="0" w:line="240" w:lineRule="auto"/>
      <w:jc w:val="center"/>
    </w:pPr>
    <w:rPr>
      <w:rFonts w:ascii="Times New Roman" w:eastAsia="Times New Roman" w:hAnsi="Times New Roman" w:cs="Times New Roman"/>
      <w:lang w:val="tr-TR"/>
    </w:rPr>
  </w:style>
  <w:style w:type="paragraph" w:styleId="FootnoteText">
    <w:name w:val="footnote text"/>
    <w:basedOn w:val="Normal"/>
    <w:link w:val="FootnoteTextChar"/>
    <w:uiPriority w:val="99"/>
    <w:semiHidden/>
    <w:unhideWhenUsed/>
    <w:rsid w:val="00945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AA9"/>
    <w:rPr>
      <w:sz w:val="20"/>
      <w:szCs w:val="20"/>
    </w:rPr>
  </w:style>
  <w:style w:type="character" w:styleId="FootnoteReference">
    <w:name w:val="footnote reference"/>
    <w:basedOn w:val="DefaultParagraphFont"/>
    <w:uiPriority w:val="99"/>
    <w:semiHidden/>
    <w:unhideWhenUsed/>
    <w:rsid w:val="00945AA9"/>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366091"/>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Pr>
  </w:style>
  <w:style w:type="character" w:styleId="CommentReference">
    <w:name w:val="annotation reference"/>
    <w:basedOn w:val="DefaultParagraphFont"/>
    <w:uiPriority w:val="99"/>
    <w:semiHidden/>
    <w:unhideWhenUsed/>
    <w:rsid w:val="007D66A4"/>
    <w:rPr>
      <w:sz w:val="16"/>
      <w:szCs w:val="16"/>
    </w:rPr>
  </w:style>
  <w:style w:type="paragraph" w:styleId="CommentText">
    <w:name w:val="annotation text"/>
    <w:basedOn w:val="Normal"/>
    <w:link w:val="CommentTextChar"/>
    <w:uiPriority w:val="99"/>
    <w:semiHidden/>
    <w:unhideWhenUsed/>
    <w:rsid w:val="007D66A4"/>
    <w:pPr>
      <w:spacing w:line="240" w:lineRule="auto"/>
    </w:pPr>
    <w:rPr>
      <w:sz w:val="20"/>
      <w:szCs w:val="20"/>
    </w:rPr>
  </w:style>
  <w:style w:type="character" w:customStyle="1" w:styleId="CommentTextChar">
    <w:name w:val="Comment Text Char"/>
    <w:basedOn w:val="DefaultParagraphFont"/>
    <w:link w:val="CommentText"/>
    <w:uiPriority w:val="99"/>
    <w:semiHidden/>
    <w:rsid w:val="007D66A4"/>
    <w:rPr>
      <w:sz w:val="20"/>
      <w:szCs w:val="20"/>
    </w:rPr>
  </w:style>
  <w:style w:type="paragraph" w:styleId="CommentSubject">
    <w:name w:val="annotation subject"/>
    <w:basedOn w:val="CommentText"/>
    <w:next w:val="CommentText"/>
    <w:link w:val="CommentSubjectChar"/>
    <w:uiPriority w:val="99"/>
    <w:semiHidden/>
    <w:unhideWhenUsed/>
    <w:rsid w:val="007D66A4"/>
    <w:rPr>
      <w:b/>
      <w:bCs/>
    </w:rPr>
  </w:style>
  <w:style w:type="character" w:customStyle="1" w:styleId="CommentSubjectChar">
    <w:name w:val="Comment Subject Char"/>
    <w:basedOn w:val="CommentTextChar"/>
    <w:link w:val="CommentSubject"/>
    <w:uiPriority w:val="99"/>
    <w:semiHidden/>
    <w:rsid w:val="007D66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Mc+WwDG8Lh5BRzXHtWc4ggj9eQ==">AMUW2mUfl7saDpfNx8t2pm+rLgg0EDQvH5pPqnZu+aEjn3S7jIJaPy1ePEmxwDybUoIwEUh/G9gudZn3MjAyQy0IxpKX00YjFUqXJML7sFWh5SM8F3ks2eCkWalFpfLxIOYOqr8MY1RE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712</Words>
  <Characters>4064</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c:creator>
  <cp:lastModifiedBy>WINDO PRO</cp:lastModifiedBy>
  <cp:revision>11</cp:revision>
  <cp:lastPrinted>2022-11-16T08:43:00Z</cp:lastPrinted>
  <dcterms:created xsi:type="dcterms:W3CDTF">2022-11-14T08:49:00Z</dcterms:created>
  <dcterms:modified xsi:type="dcterms:W3CDTF">2022-11-29T09:14:00Z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2012-06-10T00:00:00Z</vt:filetime>
  </property>
  <property fmtid="{D5CDD505-2E9C-101B-9397-08002B2CF9AE}" pid="3" name="LastSaved">
    <vt:filetime>2012-11-09T00:00:00Z</vt:filetime>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http://www.zotero.org/styles/chicago-fullnote-bibliography</vt:lpwstr>
  </property>
  <property fmtid="{D5CDD505-2E9C-101B-9397-08002B2CF9AE}" pid="13" name="Mendeley Recent Style Name 4_1">
    <vt:lpwstr>Chicago Manual of Style 17th edition (full note)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http://www.zotero.org/styles/university-of-york-mla</vt:lpwstr>
  </property>
  <property fmtid="{D5CDD505-2E9C-101B-9397-08002B2CF9AE}" pid="23" name="Mendeley Recent Style Name 9_1">
    <vt:lpwstr>University of York - Modern Language Association 8th edition</vt:lpwstr>
  </property>
</Properties>
</file>