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99" w:rsidRDefault="005E2299" w:rsidP="005E2299">
      <w:pPr>
        <w:pStyle w:val="Heading2"/>
        <w:rPr>
          <w:rFonts w:ascii="Georgia" w:hAnsi="Georgia"/>
          <w:color w:val="505050"/>
        </w:rPr>
      </w:pPr>
      <w:r>
        <w:rPr>
          <w:rFonts w:ascii="Georgia" w:hAnsi="Georgia"/>
          <w:color w:val="505050"/>
        </w:rPr>
        <w:t>Abstract</w:t>
      </w:r>
    </w:p>
    <w:p w:rsidR="005E2299" w:rsidRDefault="005E2299" w:rsidP="005E2299">
      <w:pPr>
        <w:pStyle w:val="NormalWeb"/>
        <w:spacing w:before="0" w:beforeAutospacing="0" w:after="0" w:afterAutospacing="0"/>
        <w:rPr>
          <w:rFonts w:ascii="Georgia" w:hAnsi="Georgia"/>
          <w:color w:val="2E2E2E"/>
          <w:sz w:val="27"/>
          <w:szCs w:val="27"/>
        </w:rPr>
      </w:pPr>
      <w:r>
        <w:rPr>
          <w:rFonts w:ascii="Georgia" w:hAnsi="Georgia"/>
          <w:color w:val="2E2E2E"/>
          <w:sz w:val="27"/>
          <w:szCs w:val="27"/>
        </w:rPr>
        <w:t xml:space="preserve">This paper contains the comparative study of </w:t>
      </w:r>
      <w:proofErr w:type="spellStart"/>
      <w:r>
        <w:rPr>
          <w:rFonts w:ascii="Georgia" w:hAnsi="Georgia"/>
          <w:color w:val="2E2E2E"/>
          <w:sz w:val="27"/>
          <w:szCs w:val="27"/>
        </w:rPr>
        <w:t>elasto</w:t>
      </w:r>
      <w:proofErr w:type="spellEnd"/>
      <w:r>
        <w:rPr>
          <w:rFonts w:ascii="Georgia" w:hAnsi="Georgia"/>
          <w:color w:val="2E2E2E"/>
          <w:sz w:val="27"/>
          <w:szCs w:val="27"/>
        </w:rPr>
        <w:t xml:space="preserve">-mechanical, electronic and optical properties of </w:t>
      </w:r>
      <w:proofErr w:type="spellStart"/>
      <w:r>
        <w:rPr>
          <w:rFonts w:ascii="Georgia" w:hAnsi="Georgia"/>
          <w:color w:val="2E2E2E"/>
          <w:sz w:val="27"/>
          <w:szCs w:val="27"/>
        </w:rPr>
        <w:t>pyrochlores</w:t>
      </w:r>
      <w:proofErr w:type="spellEnd"/>
      <w:r>
        <w:rPr>
          <w:rFonts w:ascii="Georgia" w:hAnsi="Georgia"/>
          <w:color w:val="2E2E2E"/>
          <w:sz w:val="27"/>
          <w:szCs w:val="27"/>
        </w:rPr>
        <w:t>. These structures are first optimized and second order-independent cubic elastic constants C</w:t>
      </w:r>
      <w:r>
        <w:rPr>
          <w:rFonts w:ascii="Georgia" w:hAnsi="Georgia"/>
          <w:color w:val="2E2E2E"/>
          <w:sz w:val="20"/>
          <w:szCs w:val="20"/>
          <w:vertAlign w:val="subscript"/>
        </w:rPr>
        <w:t>11</w:t>
      </w:r>
      <w:r>
        <w:rPr>
          <w:rFonts w:ascii="Georgia" w:hAnsi="Georgia"/>
          <w:color w:val="2E2E2E"/>
          <w:sz w:val="27"/>
          <w:szCs w:val="27"/>
        </w:rPr>
        <w:t>, C</w:t>
      </w:r>
      <w:r>
        <w:rPr>
          <w:rFonts w:ascii="Georgia" w:hAnsi="Georgia"/>
          <w:color w:val="2E2E2E"/>
          <w:sz w:val="20"/>
          <w:szCs w:val="20"/>
          <w:vertAlign w:val="subscript"/>
        </w:rPr>
        <w:t>12</w:t>
      </w:r>
      <w:r>
        <w:rPr>
          <w:rFonts w:ascii="Georgia" w:hAnsi="Georgia"/>
          <w:color w:val="2E2E2E"/>
          <w:sz w:val="27"/>
          <w:szCs w:val="27"/>
        </w:rPr>
        <w:t> and C</w:t>
      </w:r>
      <w:r>
        <w:rPr>
          <w:rFonts w:ascii="Georgia" w:hAnsi="Georgia"/>
          <w:color w:val="2E2E2E"/>
          <w:sz w:val="20"/>
          <w:szCs w:val="20"/>
          <w:vertAlign w:val="subscript"/>
        </w:rPr>
        <w:t>44</w:t>
      </w:r>
      <w:r>
        <w:rPr>
          <w:rFonts w:ascii="Georgia" w:hAnsi="Georgia"/>
          <w:color w:val="2E2E2E"/>
          <w:sz w:val="27"/>
          <w:szCs w:val="27"/>
        </w:rPr>
        <w:t> are computed using the optimized data. These computed cubic elastic constants are further used to check the mechanical stability, </w:t>
      </w:r>
      <w:hyperlink r:id="rId4" w:tooltip="Learn more about Poisson's ratio from ScienceDirect's AI-generated Topic Pages" w:history="1">
        <w:r>
          <w:rPr>
            <w:rStyle w:val="Hyperlink"/>
            <w:rFonts w:ascii="Georgia" w:hAnsi="Georgia"/>
            <w:color w:val="2E2E2E"/>
            <w:sz w:val="27"/>
            <w:szCs w:val="27"/>
          </w:rPr>
          <w:t>Poisson's ratio</w:t>
        </w:r>
      </w:hyperlink>
      <w:r>
        <w:rPr>
          <w:rFonts w:ascii="Georgia" w:hAnsi="Georgia"/>
          <w:color w:val="2E2E2E"/>
          <w:sz w:val="27"/>
          <w:szCs w:val="27"/>
        </w:rPr>
        <w:t xml:space="preserve">, Pugh's ratio and Cauchy pressure which </w:t>
      </w:r>
      <w:proofErr w:type="gramStart"/>
      <w:r>
        <w:rPr>
          <w:rFonts w:ascii="Georgia" w:hAnsi="Georgia"/>
          <w:color w:val="2E2E2E"/>
          <w:sz w:val="27"/>
          <w:szCs w:val="27"/>
        </w:rPr>
        <w:t>depicts</w:t>
      </w:r>
      <w:proofErr w:type="gramEnd"/>
      <w:r>
        <w:rPr>
          <w:rFonts w:ascii="Georgia" w:hAnsi="Georgia"/>
          <w:color w:val="2E2E2E"/>
          <w:sz w:val="27"/>
          <w:szCs w:val="27"/>
        </w:rPr>
        <w:t xml:space="preserve"> the flexible and ductile nature of both materials. </w:t>
      </w:r>
      <w:proofErr w:type="spellStart"/>
      <w:r>
        <w:rPr>
          <w:rFonts w:ascii="Georgia" w:hAnsi="Georgia"/>
          <w:color w:val="2E2E2E"/>
          <w:sz w:val="27"/>
          <w:szCs w:val="27"/>
        </w:rPr>
        <w:t>Kleinman</w:t>
      </w:r>
      <w:proofErr w:type="spellEnd"/>
      <w:r>
        <w:rPr>
          <w:rFonts w:ascii="Georgia" w:hAnsi="Georgia"/>
          <w:color w:val="2E2E2E"/>
          <w:sz w:val="27"/>
          <w:szCs w:val="27"/>
        </w:rPr>
        <w:t xml:space="preserve"> ratio is more significant for La</w:t>
      </w:r>
      <w:r>
        <w:rPr>
          <w:rFonts w:ascii="Georgia" w:hAnsi="Georgia"/>
          <w:color w:val="2E2E2E"/>
          <w:sz w:val="20"/>
          <w:szCs w:val="20"/>
          <w:vertAlign w:val="subscript"/>
        </w:rPr>
        <w:t>2</w:t>
      </w:r>
      <w:r>
        <w:rPr>
          <w:rFonts w:ascii="Georgia" w:hAnsi="Georgia"/>
          <w:color w:val="2E2E2E"/>
          <w:sz w:val="27"/>
          <w:szCs w:val="27"/>
        </w:rPr>
        <w:t>Zr</w:t>
      </w:r>
      <w:r>
        <w:rPr>
          <w:rFonts w:ascii="Georgia" w:hAnsi="Georgia"/>
          <w:color w:val="2E2E2E"/>
          <w:sz w:val="20"/>
          <w:szCs w:val="20"/>
          <w:vertAlign w:val="subscript"/>
        </w:rPr>
        <w:t>2</w:t>
      </w:r>
      <w:r>
        <w:rPr>
          <w:rFonts w:ascii="Georgia" w:hAnsi="Georgia"/>
          <w:color w:val="2E2E2E"/>
          <w:sz w:val="27"/>
          <w:szCs w:val="27"/>
        </w:rPr>
        <w:t>O</w:t>
      </w:r>
      <w:r>
        <w:rPr>
          <w:rFonts w:ascii="Georgia" w:hAnsi="Georgia"/>
          <w:color w:val="2E2E2E"/>
          <w:sz w:val="20"/>
          <w:szCs w:val="20"/>
          <w:vertAlign w:val="subscript"/>
        </w:rPr>
        <w:t>7</w:t>
      </w:r>
      <w:r>
        <w:rPr>
          <w:rFonts w:ascii="Georgia" w:hAnsi="Georgia"/>
          <w:color w:val="2E2E2E"/>
          <w:sz w:val="27"/>
          <w:szCs w:val="27"/>
        </w:rPr>
        <w:t>, so it has excellent bond stretching minimization phenomena. </w:t>
      </w:r>
      <w:hyperlink r:id="rId5" w:tooltip="Learn more about Young's modulus from ScienceDirect's AI-generated Topic Pages" w:history="1">
        <w:r>
          <w:rPr>
            <w:rStyle w:val="Hyperlink"/>
            <w:rFonts w:ascii="Georgia" w:hAnsi="Georgia"/>
            <w:color w:val="2E2E2E"/>
            <w:sz w:val="27"/>
            <w:szCs w:val="27"/>
          </w:rPr>
          <w:t>Young's modulus</w:t>
        </w:r>
      </w:hyperlink>
      <w:r>
        <w:rPr>
          <w:rFonts w:ascii="Georgia" w:hAnsi="Georgia"/>
          <w:color w:val="2E2E2E"/>
          <w:sz w:val="27"/>
          <w:szCs w:val="27"/>
        </w:rPr>
        <w:t> and lame's constants describe that Nd</w:t>
      </w:r>
      <w:r>
        <w:rPr>
          <w:rFonts w:ascii="Georgia" w:hAnsi="Georgia"/>
          <w:color w:val="2E2E2E"/>
          <w:sz w:val="20"/>
          <w:szCs w:val="20"/>
          <w:vertAlign w:val="subscript"/>
        </w:rPr>
        <w:t>2</w:t>
      </w:r>
      <w:r>
        <w:rPr>
          <w:rFonts w:ascii="Georgia" w:hAnsi="Georgia"/>
          <w:color w:val="2E2E2E"/>
          <w:sz w:val="27"/>
          <w:szCs w:val="27"/>
        </w:rPr>
        <w:t>Zr</w:t>
      </w:r>
      <w:r>
        <w:rPr>
          <w:rFonts w:ascii="Georgia" w:hAnsi="Georgia"/>
          <w:color w:val="2E2E2E"/>
          <w:sz w:val="20"/>
          <w:szCs w:val="20"/>
          <w:vertAlign w:val="subscript"/>
        </w:rPr>
        <w:t>2</w:t>
      </w:r>
      <w:r>
        <w:rPr>
          <w:rFonts w:ascii="Georgia" w:hAnsi="Georgia"/>
          <w:color w:val="2E2E2E"/>
          <w:sz w:val="27"/>
          <w:szCs w:val="27"/>
        </w:rPr>
        <w:t>O</w:t>
      </w:r>
      <w:r>
        <w:rPr>
          <w:rFonts w:ascii="Georgia" w:hAnsi="Georgia"/>
          <w:color w:val="2E2E2E"/>
          <w:sz w:val="20"/>
          <w:szCs w:val="20"/>
          <w:vertAlign w:val="subscript"/>
        </w:rPr>
        <w:t>7</w:t>
      </w:r>
      <w:r>
        <w:rPr>
          <w:rFonts w:ascii="Georgia" w:hAnsi="Georgia"/>
          <w:color w:val="2E2E2E"/>
          <w:sz w:val="27"/>
          <w:szCs w:val="27"/>
        </w:rPr>
        <w:t> is stiffer and difficult to compress than La</w:t>
      </w:r>
      <w:r>
        <w:rPr>
          <w:rFonts w:ascii="Georgia" w:hAnsi="Georgia"/>
          <w:color w:val="2E2E2E"/>
          <w:sz w:val="20"/>
          <w:szCs w:val="20"/>
          <w:vertAlign w:val="subscript"/>
        </w:rPr>
        <w:t>2</w:t>
      </w:r>
      <w:r>
        <w:rPr>
          <w:rFonts w:ascii="Georgia" w:hAnsi="Georgia"/>
          <w:color w:val="2E2E2E"/>
          <w:sz w:val="27"/>
          <w:szCs w:val="27"/>
        </w:rPr>
        <w:t>Zr</w:t>
      </w:r>
      <w:r>
        <w:rPr>
          <w:rFonts w:ascii="Georgia" w:hAnsi="Georgia"/>
          <w:color w:val="2E2E2E"/>
          <w:sz w:val="20"/>
          <w:szCs w:val="20"/>
          <w:vertAlign w:val="subscript"/>
        </w:rPr>
        <w:t>2</w:t>
      </w:r>
      <w:r>
        <w:rPr>
          <w:rFonts w:ascii="Georgia" w:hAnsi="Georgia"/>
          <w:color w:val="2E2E2E"/>
          <w:sz w:val="27"/>
          <w:szCs w:val="27"/>
        </w:rPr>
        <w:t>O</w:t>
      </w:r>
      <w:r>
        <w:rPr>
          <w:rFonts w:ascii="Georgia" w:hAnsi="Georgia"/>
          <w:color w:val="2E2E2E"/>
          <w:sz w:val="20"/>
          <w:szCs w:val="20"/>
          <w:vertAlign w:val="subscript"/>
        </w:rPr>
        <w:t>7</w:t>
      </w:r>
      <w:r>
        <w:rPr>
          <w:rFonts w:ascii="Georgia" w:hAnsi="Georgia"/>
          <w:color w:val="2E2E2E"/>
          <w:sz w:val="27"/>
          <w:szCs w:val="27"/>
        </w:rPr>
        <w:t>. Debye temperature and sound velocities are also calculated for both oxides. Due to the high melting temperature, Nd</w:t>
      </w:r>
      <w:r>
        <w:rPr>
          <w:rFonts w:ascii="Georgia" w:hAnsi="Georgia"/>
          <w:color w:val="2E2E2E"/>
          <w:sz w:val="20"/>
          <w:szCs w:val="20"/>
          <w:vertAlign w:val="subscript"/>
        </w:rPr>
        <w:t>2</w:t>
      </w:r>
      <w:r>
        <w:rPr>
          <w:rFonts w:ascii="Georgia" w:hAnsi="Georgia"/>
          <w:color w:val="2E2E2E"/>
          <w:sz w:val="27"/>
          <w:szCs w:val="27"/>
        </w:rPr>
        <w:t>Zr</w:t>
      </w:r>
      <w:r>
        <w:rPr>
          <w:rFonts w:ascii="Georgia" w:hAnsi="Georgia"/>
          <w:color w:val="2E2E2E"/>
          <w:sz w:val="20"/>
          <w:szCs w:val="20"/>
          <w:vertAlign w:val="subscript"/>
        </w:rPr>
        <w:t>2</w:t>
      </w:r>
      <w:r>
        <w:rPr>
          <w:rFonts w:ascii="Georgia" w:hAnsi="Georgia"/>
          <w:color w:val="2E2E2E"/>
          <w:sz w:val="27"/>
          <w:szCs w:val="27"/>
        </w:rPr>
        <w:t>O</w:t>
      </w:r>
      <w:r>
        <w:rPr>
          <w:rFonts w:ascii="Georgia" w:hAnsi="Georgia"/>
          <w:color w:val="2E2E2E"/>
          <w:sz w:val="20"/>
          <w:szCs w:val="20"/>
          <w:vertAlign w:val="subscript"/>
        </w:rPr>
        <w:t>7</w:t>
      </w:r>
      <w:r>
        <w:rPr>
          <w:rFonts w:ascii="Georgia" w:hAnsi="Georgia"/>
          <w:color w:val="2E2E2E"/>
          <w:sz w:val="27"/>
          <w:szCs w:val="27"/>
        </w:rPr>
        <w:t> is suitable for high-temperature environments and is used in aerospace and construction industries. Band structures reveal that these oxides are metallic as there appears no gap in electronic dispersion relations. Analysis of the density of states reveals the magnetic nature of these oxides as the density of states is not the perfect image of each other in both spin channels. The imaginary part of the </w:t>
      </w:r>
      <w:hyperlink r:id="rId6" w:tooltip="Learn more about dielectric from ScienceDirect's AI-generated Topic Pages" w:history="1">
        <w:r>
          <w:rPr>
            <w:rStyle w:val="Hyperlink"/>
            <w:rFonts w:ascii="Georgia" w:hAnsi="Georgia"/>
            <w:color w:val="2E2E2E"/>
            <w:sz w:val="27"/>
            <w:szCs w:val="27"/>
          </w:rPr>
          <w:t>dielectric</w:t>
        </w:r>
      </w:hyperlink>
      <w:r>
        <w:rPr>
          <w:rFonts w:ascii="Georgia" w:hAnsi="Georgia"/>
          <w:color w:val="2E2E2E"/>
          <w:sz w:val="27"/>
          <w:szCs w:val="27"/>
        </w:rPr>
        <w:t xml:space="preserve"> function also shows the optically metallic nature and suitability for sensors and </w:t>
      </w:r>
      <w:proofErr w:type="spellStart"/>
      <w:r>
        <w:rPr>
          <w:rFonts w:ascii="Georgia" w:hAnsi="Georgia"/>
          <w:color w:val="2E2E2E"/>
          <w:sz w:val="27"/>
          <w:szCs w:val="27"/>
        </w:rPr>
        <w:t>opto</w:t>
      </w:r>
      <w:proofErr w:type="spellEnd"/>
      <w:r>
        <w:rPr>
          <w:rFonts w:ascii="Georgia" w:hAnsi="Georgia"/>
          <w:color w:val="2E2E2E"/>
          <w:sz w:val="27"/>
          <w:szCs w:val="27"/>
        </w:rPr>
        <w:t>-electronic devices.</w:t>
      </w:r>
    </w:p>
    <w:p w:rsidR="000C0A32" w:rsidRPr="005E2299" w:rsidRDefault="000C0A32" w:rsidP="005E2299"/>
    <w:sectPr w:rsidR="000C0A32" w:rsidRPr="005E2299" w:rsidSect="000C0A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AD"/>
    <w:rsid w:val="000078AD"/>
    <w:rsid w:val="000C0A32"/>
    <w:rsid w:val="005E2299"/>
    <w:rsid w:val="0082255B"/>
    <w:rsid w:val="00D01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32"/>
  </w:style>
  <w:style w:type="paragraph" w:styleId="Heading2">
    <w:name w:val="heading 2"/>
    <w:basedOn w:val="Normal"/>
    <w:link w:val="Heading2Char"/>
    <w:uiPriority w:val="9"/>
    <w:qFormat/>
    <w:rsid w:val="005E22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8AD"/>
    <w:rPr>
      <w:color w:val="0000FF"/>
      <w:u w:val="single"/>
    </w:rPr>
  </w:style>
  <w:style w:type="character" w:customStyle="1" w:styleId="Heading2Char">
    <w:name w:val="Heading 2 Char"/>
    <w:basedOn w:val="DefaultParagraphFont"/>
    <w:link w:val="Heading2"/>
    <w:uiPriority w:val="9"/>
    <w:rsid w:val="005E22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2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8932498">
      <w:bodyDiv w:val="1"/>
      <w:marLeft w:val="0"/>
      <w:marRight w:val="0"/>
      <w:marTop w:val="0"/>
      <w:marBottom w:val="0"/>
      <w:divBdr>
        <w:top w:val="none" w:sz="0" w:space="0" w:color="auto"/>
        <w:left w:val="none" w:sz="0" w:space="0" w:color="auto"/>
        <w:bottom w:val="none" w:sz="0" w:space="0" w:color="auto"/>
        <w:right w:val="none" w:sz="0" w:space="0" w:color="auto"/>
      </w:divBdr>
      <w:divsChild>
        <w:div w:id="57902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aterials-science/dielectric-material" TargetMode="External"/><Relationship Id="rId5" Type="http://schemas.openxmlformats.org/officeDocument/2006/relationships/hyperlink" Target="https://www.sciencedirect.com/topics/materials-science/youngs-modulus" TargetMode="External"/><Relationship Id="rId4" Type="http://schemas.openxmlformats.org/officeDocument/2006/relationships/hyperlink" Target="https://www.sciencedirect.com/topics/materials-science/poisson-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2022-04-20T05:09:00Z</dcterms:created>
  <dcterms:modified xsi:type="dcterms:W3CDTF">2022-05-27T05:41:00Z</dcterms:modified>
</cp:coreProperties>
</file>