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AD" w:rsidRPr="000078AD" w:rsidRDefault="000078AD">
      <w:pPr>
        <w:rPr>
          <w:rFonts w:ascii="Georgia" w:hAnsi="Georgia"/>
          <w:b/>
          <w:color w:val="2E2E2E"/>
          <w:sz w:val="27"/>
          <w:szCs w:val="27"/>
        </w:rPr>
      </w:pPr>
      <w:r w:rsidRPr="000078AD">
        <w:rPr>
          <w:rFonts w:ascii="Georgia" w:hAnsi="Georgia"/>
          <w:b/>
          <w:color w:val="2E2E2E"/>
          <w:sz w:val="27"/>
          <w:szCs w:val="27"/>
        </w:rPr>
        <w:t>Abstract:</w:t>
      </w:r>
    </w:p>
    <w:p w:rsidR="000C0A32" w:rsidRDefault="000078AD" w:rsidP="000078AD">
      <w:pPr>
        <w:jc w:val="both"/>
      </w:pPr>
      <w:r>
        <w:rPr>
          <w:rFonts w:ascii="Georgia" w:hAnsi="Georgia"/>
          <w:color w:val="2E2E2E"/>
          <w:sz w:val="27"/>
          <w:szCs w:val="27"/>
        </w:rPr>
        <w:t>Lithium ferrite Li</w:t>
      </w:r>
      <w:r>
        <w:rPr>
          <w:rFonts w:ascii="Georgia" w:hAnsi="Georgia"/>
          <w:color w:val="2E2E2E"/>
          <w:sz w:val="20"/>
          <w:szCs w:val="20"/>
          <w:vertAlign w:val="subscript"/>
        </w:rPr>
        <w:t>0.5</w:t>
      </w:r>
      <w:r>
        <w:rPr>
          <w:rFonts w:ascii="Georgia" w:hAnsi="Georgia"/>
          <w:color w:val="2E2E2E"/>
          <w:sz w:val="27"/>
          <w:szCs w:val="27"/>
        </w:rPr>
        <w:t>Fe</w:t>
      </w:r>
      <w:r>
        <w:rPr>
          <w:rFonts w:ascii="Georgia" w:hAnsi="Georgia"/>
          <w:color w:val="2E2E2E"/>
          <w:sz w:val="20"/>
          <w:szCs w:val="20"/>
          <w:vertAlign w:val="subscript"/>
        </w:rPr>
        <w:t>2.5</w:t>
      </w:r>
      <w:r>
        <w:rPr>
          <w:rFonts w:ascii="Georgia" w:hAnsi="Georgia"/>
          <w:color w:val="2E2E2E"/>
          <w:sz w:val="27"/>
          <w:szCs w:val="27"/>
        </w:rPr>
        <w:t>O</w:t>
      </w:r>
      <w:r>
        <w:rPr>
          <w:rFonts w:ascii="Georgia" w:hAnsi="Georgia"/>
          <w:color w:val="2E2E2E"/>
          <w:sz w:val="20"/>
          <w:szCs w:val="20"/>
          <w:vertAlign w:val="subscript"/>
        </w:rPr>
        <w:t>4</w:t>
      </w:r>
      <w:r>
        <w:rPr>
          <w:rFonts w:ascii="Georgia" w:hAnsi="Georgia"/>
          <w:color w:val="2E2E2E"/>
          <w:sz w:val="27"/>
          <w:szCs w:val="27"/>
        </w:rPr>
        <w:t xml:space="preserve"> has been synthesized by the use of the sol–gel technique. X-ray </w:t>
      </w:r>
      <w:proofErr w:type="spellStart"/>
      <w:r>
        <w:rPr>
          <w:rFonts w:ascii="Georgia" w:hAnsi="Georgia"/>
          <w:color w:val="2E2E2E"/>
          <w:sz w:val="27"/>
          <w:szCs w:val="27"/>
        </w:rPr>
        <w:t>diffractometer</w:t>
      </w:r>
      <w:proofErr w:type="spellEnd"/>
      <w:r>
        <w:rPr>
          <w:rFonts w:ascii="Georgia" w:hAnsi="Georgia"/>
          <w:color w:val="2E2E2E"/>
          <w:sz w:val="27"/>
          <w:szCs w:val="27"/>
        </w:rPr>
        <w:t xml:space="preserve"> (XRD) has been employed to confirm the crystal structure of </w:t>
      </w:r>
      <w:proofErr w:type="spellStart"/>
      <w:r>
        <w:rPr>
          <w:rFonts w:ascii="Georgia" w:hAnsi="Georgia"/>
          <w:color w:val="2E2E2E"/>
          <w:sz w:val="27"/>
          <w:szCs w:val="27"/>
        </w:rPr>
        <w:t>spinel</w:t>
      </w:r>
      <w:proofErr w:type="spellEnd"/>
      <w:r>
        <w:rPr>
          <w:rFonts w:ascii="Georgia" w:hAnsi="Georgia"/>
          <w:color w:val="2E2E2E"/>
          <w:sz w:val="27"/>
          <w:szCs w:val="27"/>
        </w:rPr>
        <w:t xml:space="preserve"> ferrites. No impurity peaks are detected in XRD graph, which confirms single phase crystal structure. The evaluation of grain size and analysis of external </w:t>
      </w:r>
      <w:hyperlink r:id="rId4" w:tooltip="Learn more about surface morphology from ScienceDirect's AI-generated Topic Pages" w:history="1">
        <w:r>
          <w:rPr>
            <w:rStyle w:val="Hyperlink"/>
            <w:rFonts w:ascii="Georgia" w:hAnsi="Georgia"/>
            <w:color w:val="2E2E2E"/>
            <w:sz w:val="27"/>
            <w:szCs w:val="27"/>
          </w:rPr>
          <w:t>surface morphology</w:t>
        </w:r>
      </w:hyperlink>
      <w:r>
        <w:rPr>
          <w:rFonts w:ascii="Georgia" w:hAnsi="Georgia"/>
          <w:color w:val="2E2E2E"/>
          <w:sz w:val="27"/>
          <w:szCs w:val="27"/>
        </w:rPr>
        <w:t> of synthesized lithium ferrites has been done by scanning electron microscope (SEM). Average grain size was about equal to 131 nm. Energy dispersive x-ray spectra showed all the elements were present in required proportions. Magnetic characteristics such as saturation magnetization (M</w:t>
      </w:r>
      <w:r>
        <w:rPr>
          <w:rFonts w:ascii="Georgia" w:hAnsi="Georgia"/>
          <w:color w:val="2E2E2E"/>
          <w:sz w:val="20"/>
          <w:szCs w:val="20"/>
          <w:vertAlign w:val="subscript"/>
        </w:rPr>
        <w:t>s</w:t>
      </w:r>
      <w:r>
        <w:rPr>
          <w:rFonts w:ascii="Georgia" w:hAnsi="Georgia"/>
          <w:color w:val="2E2E2E"/>
          <w:sz w:val="27"/>
          <w:szCs w:val="27"/>
        </w:rPr>
        <w:t xml:space="preserve">), </w:t>
      </w:r>
      <w:proofErr w:type="spellStart"/>
      <w:r>
        <w:rPr>
          <w:rFonts w:ascii="Georgia" w:hAnsi="Georgia"/>
          <w:color w:val="2E2E2E"/>
          <w:sz w:val="27"/>
          <w:szCs w:val="27"/>
        </w:rPr>
        <w:t>remanence</w:t>
      </w:r>
      <w:proofErr w:type="spellEnd"/>
      <w:r>
        <w:rPr>
          <w:rFonts w:ascii="Georgia" w:hAnsi="Georgia"/>
          <w:color w:val="2E2E2E"/>
          <w:sz w:val="27"/>
          <w:szCs w:val="27"/>
        </w:rPr>
        <w:t xml:space="preserve"> (</w:t>
      </w:r>
      <w:proofErr w:type="spellStart"/>
      <w:r>
        <w:rPr>
          <w:rFonts w:ascii="Georgia" w:hAnsi="Georgia"/>
          <w:color w:val="2E2E2E"/>
          <w:sz w:val="27"/>
          <w:szCs w:val="27"/>
        </w:rPr>
        <w:t>M</w:t>
      </w:r>
      <w:r>
        <w:rPr>
          <w:rFonts w:ascii="Georgia" w:hAnsi="Georgia"/>
          <w:color w:val="2E2E2E"/>
          <w:sz w:val="20"/>
          <w:szCs w:val="20"/>
          <w:vertAlign w:val="subscript"/>
        </w:rPr>
        <w:t>r</w:t>
      </w:r>
      <w:proofErr w:type="spellEnd"/>
      <w:r>
        <w:rPr>
          <w:rFonts w:ascii="Georgia" w:hAnsi="Georgia"/>
          <w:color w:val="2E2E2E"/>
          <w:sz w:val="27"/>
          <w:szCs w:val="27"/>
        </w:rPr>
        <w:t>), and coercive force (</w:t>
      </w:r>
      <w:proofErr w:type="spellStart"/>
      <w:r>
        <w:rPr>
          <w:rFonts w:ascii="Georgia" w:hAnsi="Georgia"/>
          <w:color w:val="2E2E2E"/>
          <w:sz w:val="27"/>
          <w:szCs w:val="27"/>
        </w:rPr>
        <w:t>H</w:t>
      </w:r>
      <w:r>
        <w:rPr>
          <w:rFonts w:ascii="Georgia" w:hAnsi="Georgia"/>
          <w:color w:val="2E2E2E"/>
          <w:sz w:val="20"/>
          <w:szCs w:val="20"/>
          <w:vertAlign w:val="subscript"/>
        </w:rPr>
        <w:t>c</w:t>
      </w:r>
      <w:proofErr w:type="spellEnd"/>
      <w:r>
        <w:rPr>
          <w:rFonts w:ascii="Georgia" w:hAnsi="Georgia"/>
          <w:color w:val="2E2E2E"/>
          <w:sz w:val="27"/>
          <w:szCs w:val="27"/>
        </w:rPr>
        <w:t xml:space="preserve">) have been measured from MH loops. Saturation magnetization has been measured to be 43.69 emu/by law of approach to saturation. The </w:t>
      </w:r>
      <w:proofErr w:type="spellStart"/>
      <w:r>
        <w:rPr>
          <w:rFonts w:ascii="Georgia" w:hAnsi="Georgia"/>
          <w:color w:val="2E2E2E"/>
          <w:sz w:val="27"/>
          <w:szCs w:val="27"/>
        </w:rPr>
        <w:t>coercivity</w:t>
      </w:r>
      <w:proofErr w:type="spellEnd"/>
      <w:r>
        <w:rPr>
          <w:rFonts w:ascii="Georgia" w:hAnsi="Georgia"/>
          <w:color w:val="2E2E2E"/>
          <w:sz w:val="27"/>
          <w:szCs w:val="27"/>
        </w:rPr>
        <w:t xml:space="preserve"> value lies in the range of few hundred </w:t>
      </w:r>
      <w:proofErr w:type="spellStart"/>
      <w:proofErr w:type="gramStart"/>
      <w:r>
        <w:rPr>
          <w:rFonts w:ascii="Georgia" w:hAnsi="Georgia"/>
          <w:color w:val="2E2E2E"/>
          <w:sz w:val="27"/>
          <w:szCs w:val="27"/>
        </w:rPr>
        <w:t>Oersted</w:t>
      </w:r>
      <w:proofErr w:type="spellEnd"/>
      <w:proofErr w:type="gramEnd"/>
      <w:r>
        <w:rPr>
          <w:rFonts w:ascii="Georgia" w:hAnsi="Georgia"/>
          <w:color w:val="2E2E2E"/>
          <w:sz w:val="27"/>
          <w:szCs w:val="27"/>
        </w:rPr>
        <w:t xml:space="preserve"> which is vital condition for electromagnetic materials. </w:t>
      </w:r>
      <w:hyperlink r:id="rId5" w:tooltip="Learn more about Cyclic Voltammetry from ScienceDirect's AI-generated Topic Pages" w:history="1">
        <w:r>
          <w:rPr>
            <w:rStyle w:val="Hyperlink"/>
            <w:rFonts w:ascii="Georgia" w:hAnsi="Georgia"/>
            <w:color w:val="2E2E2E"/>
            <w:sz w:val="27"/>
            <w:szCs w:val="27"/>
          </w:rPr>
          <w:t xml:space="preserve">Cyclic </w:t>
        </w:r>
        <w:proofErr w:type="spellStart"/>
        <w:r>
          <w:rPr>
            <w:rStyle w:val="Hyperlink"/>
            <w:rFonts w:ascii="Georgia" w:hAnsi="Georgia"/>
            <w:color w:val="2E2E2E"/>
            <w:sz w:val="27"/>
            <w:szCs w:val="27"/>
          </w:rPr>
          <w:t>Voltammetry</w:t>
        </w:r>
        <w:proofErr w:type="spellEnd"/>
      </w:hyperlink>
      <w:r>
        <w:rPr>
          <w:rFonts w:ascii="Georgia" w:hAnsi="Georgia"/>
          <w:color w:val="2E2E2E"/>
          <w:sz w:val="27"/>
          <w:szCs w:val="27"/>
        </w:rPr>
        <w:t> (CV) measurements were made, to know about the electrochemical performance of the material. CV results show that with the increase in scan rate specific capacitance decreases and the area of the loop increases which is promising for the formation of super capacitors and lithium-ion batteries (LIB's).</w:t>
      </w:r>
    </w:p>
    <w:sectPr w:rsidR="000C0A32" w:rsidSect="000C0A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AD"/>
    <w:rsid w:val="000078AD"/>
    <w:rsid w:val="000C0A32"/>
    <w:rsid w:val="00D019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8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direct.com/topics/materials-science/cyclic-voltammetry" TargetMode="External"/><Relationship Id="rId4" Type="http://schemas.openxmlformats.org/officeDocument/2006/relationships/hyperlink" Target="https://www.sciencedirect.com/topics/materials-science/surface-morp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2022-04-20T05:09:00Z</dcterms:created>
  <dcterms:modified xsi:type="dcterms:W3CDTF">2022-04-20T05:10:00Z</dcterms:modified>
</cp:coreProperties>
</file>